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8F6313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8F6313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BE2996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47290B">
              <w:rPr>
                <w:sz w:val="24"/>
                <w:szCs w:val="24"/>
              </w:rPr>
              <w:t xml:space="preserve"> декабря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BE2996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7290B">
              <w:rPr>
                <w:b/>
                <w:sz w:val="24"/>
                <w:szCs w:val="24"/>
              </w:rPr>
              <w:t xml:space="preserve"> декабря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BE2996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 w:rsidR="0047290B">
              <w:rPr>
                <w:b/>
                <w:sz w:val="24"/>
                <w:szCs w:val="24"/>
              </w:rPr>
              <w:t>декабря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47290B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№1: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>Об утверждении отчета о выполнении бизнес – плана ПАО «Самараэнерго» за                    3 квартал (9 месяцев) 2020 года.</w:t>
            </w: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№2: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>О выполнении ПАО «Самараэнерго» квартальных ключевых показателей эффективности, соответствующих аналогичным показателям Бизнес-плана Общества и расчета размера квартальной премии Генерального директора за III квартал 2020 года.</w:t>
            </w: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№3: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>Об утверждении Плана закупки товаров (работ, услуг) на 2021 год.</w:t>
            </w:r>
          </w:p>
          <w:p w:rsidR="003B585F" w:rsidRPr="002E7D07" w:rsidRDefault="00BE2996" w:rsidP="00BE2996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№4: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>Об утверждении Плана закупки инновационной продукции, высокотехнологичной продукции, лекарственных средств на период с 2021 по 2027 годы.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2996"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47290B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13" w:rsidRDefault="008F6313" w:rsidP="00C51B84">
      <w:r>
        <w:separator/>
      </w:r>
    </w:p>
  </w:endnote>
  <w:endnote w:type="continuationSeparator" w:id="0">
    <w:p w:rsidR="008F6313" w:rsidRDefault="008F6313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13" w:rsidRDefault="008F6313" w:rsidP="00C51B84">
      <w:r>
        <w:separator/>
      </w:r>
    </w:p>
  </w:footnote>
  <w:footnote w:type="continuationSeparator" w:id="0">
    <w:p w:rsidR="008F6313" w:rsidRDefault="008F6313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6E2596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2996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02E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2020-12-21T11:12:00Z</dcterms:created>
  <dcterms:modified xsi:type="dcterms:W3CDTF">2020-12-21T11:12:00Z</dcterms:modified>
</cp:coreProperties>
</file>