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D" w:rsidRDefault="00C8419D" w:rsidP="00C8419D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8419D">
        <w:rPr>
          <w:rFonts w:ascii="Arial CYR" w:eastAsia="Times New Roman" w:hAnsi="Arial CYR" w:cs="Arial CYR"/>
          <w:sz w:val="20"/>
          <w:szCs w:val="20"/>
          <w:lang w:eastAsia="ru-RU"/>
        </w:rPr>
        <w:t>Фактический объём потребления электрической энергии потребителями, осуществляющими расчёты по второй ценовой категории, с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разбивкой по каждой зоне суток</w:t>
      </w:r>
    </w:p>
    <w:p w:rsidR="00C8419D" w:rsidRDefault="00C8419D" w:rsidP="00C8419D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8419D" w:rsidRPr="00C8419D" w:rsidRDefault="00C8419D" w:rsidP="00C8419D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760"/>
        <w:gridCol w:w="3520"/>
        <w:gridCol w:w="1840"/>
      </w:tblGrid>
      <w:tr w:rsidR="00C8419D" w:rsidRPr="00C8419D" w:rsidTr="00C8419D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D" w:rsidRPr="00C8419D" w:rsidRDefault="00C8419D" w:rsidP="00C84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Объём электроэнергии,  тыс. </w:t>
            </w:r>
            <w:proofErr w:type="spellStart"/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9 446,045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D" w:rsidRPr="00C8419D" w:rsidRDefault="00C8419D" w:rsidP="00C841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Вторая ценовая категория</w:t>
            </w:r>
            <w:proofErr w:type="gramStart"/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двум зонам суток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1 556,684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ночь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475,753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1 080,931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трём зонам суток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7 889,361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ночь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2 505,751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полупик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4 142,367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419D" w:rsidRPr="00C8419D" w:rsidTr="00C8419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4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1 241,244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D" w:rsidRPr="00C8419D" w:rsidRDefault="00C8419D" w:rsidP="00C84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8151F" w:rsidRDefault="0028151F">
      <w:bookmarkStart w:id="0" w:name="_GoBack"/>
      <w:bookmarkEnd w:id="0"/>
    </w:p>
    <w:sectPr w:rsidR="0028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D"/>
    <w:rsid w:val="0028151F"/>
    <w:rsid w:val="00C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"Самараэнерго"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1</cp:revision>
  <dcterms:created xsi:type="dcterms:W3CDTF">2012-05-25T11:26:00Z</dcterms:created>
  <dcterms:modified xsi:type="dcterms:W3CDTF">2012-05-25T11:26:00Z</dcterms:modified>
</cp:coreProperties>
</file>