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E7" w:rsidRPr="008A46AC" w:rsidRDefault="000720E7" w:rsidP="000720E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 xml:space="preserve">Сообщение о существенном </w:t>
      </w:r>
      <w:proofErr w:type="gramStart"/>
      <w:r w:rsidRPr="00466168">
        <w:rPr>
          <w:b/>
          <w:bCs/>
          <w:sz w:val="24"/>
          <w:szCs w:val="24"/>
        </w:rPr>
        <w:t>факте</w:t>
      </w:r>
      <w:r w:rsidRPr="00466168">
        <w:rPr>
          <w:b/>
          <w:bCs/>
          <w:sz w:val="24"/>
          <w:szCs w:val="24"/>
        </w:rPr>
        <w:br/>
        <w:t>“</w:t>
      </w:r>
      <w:proofErr w:type="gramEnd"/>
      <w:r w:rsidRPr="0046616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466168">
        <w:rPr>
          <w:b/>
          <w:bCs/>
          <w:sz w:val="24"/>
          <w:szCs w:val="24"/>
        </w:rPr>
        <w:t xml:space="preserve">” </w:t>
      </w:r>
      <w:r w:rsidR="00DF7D8B">
        <w:rPr>
          <w:b/>
          <w:bCs/>
          <w:sz w:val="24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D37330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proofErr w:type="gramStart"/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  <w:proofErr w:type="gramEnd"/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DF7D8B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DF7D8B">
        <w:tc>
          <w:tcPr>
            <w:tcW w:w="9781" w:type="dxa"/>
            <w:gridSpan w:val="7"/>
          </w:tcPr>
          <w:p w:rsidR="00DF7D8B" w:rsidRPr="00DF7D8B" w:rsidRDefault="00DF7D8B" w:rsidP="00DF7D8B">
            <w:pPr>
              <w:pStyle w:val="a4"/>
              <w:spacing w:before="0" w:beforeAutospacing="0" w:after="0" w:afterAutospacing="0"/>
              <w:ind w:right="113" w:firstLine="256"/>
              <w:jc w:val="both"/>
              <w:rPr>
                <w:szCs w:val="22"/>
              </w:rPr>
            </w:pPr>
            <w:bookmarkStart w:id="0" w:name="OLE_LINK1"/>
            <w:bookmarkStart w:id="1" w:name="OLE_LINK2"/>
            <w:r w:rsidRPr="00DF7D8B">
              <w:rPr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DF7D8B" w:rsidRPr="00DF7D8B" w:rsidRDefault="00DF7D8B" w:rsidP="00DF7D8B">
            <w:pPr>
              <w:tabs>
                <w:tab w:val="left" w:pos="9470"/>
                <w:tab w:val="left" w:pos="9753"/>
                <w:tab w:val="left" w:pos="9895"/>
              </w:tabs>
              <w:ind w:right="397" w:firstLine="256"/>
              <w:jc w:val="both"/>
              <w:rPr>
                <w:b/>
                <w:sz w:val="24"/>
                <w:szCs w:val="24"/>
              </w:rPr>
            </w:pPr>
            <w:r w:rsidRPr="00DF7D8B">
              <w:rPr>
                <w:sz w:val="24"/>
                <w:szCs w:val="22"/>
              </w:rPr>
              <w:t>2.2.</w:t>
            </w:r>
            <w:r w:rsidRPr="00DF7D8B">
              <w:rPr>
                <w:bCs/>
                <w:sz w:val="24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DF7D8B">
              <w:rPr>
                <w:sz w:val="24"/>
                <w:szCs w:val="22"/>
              </w:rPr>
              <w:t>:</w:t>
            </w:r>
            <w:r w:rsidRPr="00DF7D8B">
              <w:rPr>
                <w:b/>
                <w:sz w:val="24"/>
                <w:szCs w:val="22"/>
              </w:rPr>
              <w:t xml:space="preserve"> </w:t>
            </w:r>
            <w:r w:rsidR="00FC2C87">
              <w:rPr>
                <w:b/>
                <w:sz w:val="24"/>
                <w:szCs w:val="24"/>
              </w:rPr>
              <w:t>12 июл</w:t>
            </w:r>
            <w:r w:rsidRPr="00DF7D8B">
              <w:rPr>
                <w:b/>
                <w:sz w:val="24"/>
                <w:szCs w:val="24"/>
              </w:rPr>
              <w:t>я 2016 года.</w:t>
            </w:r>
          </w:p>
          <w:p w:rsidR="00DF7D8B" w:rsidRPr="00DF7D8B" w:rsidRDefault="00DF7D8B" w:rsidP="00DF7D8B">
            <w:pPr>
              <w:pStyle w:val="a4"/>
              <w:spacing w:before="0" w:beforeAutospacing="0" w:after="0" w:afterAutospacing="0"/>
              <w:ind w:right="113" w:firstLine="256"/>
              <w:jc w:val="both"/>
              <w:rPr>
                <w:b/>
              </w:rPr>
            </w:pPr>
            <w:r w:rsidRPr="00DF7D8B">
              <w:rPr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DF7D8B">
              <w:rPr>
                <w:b/>
                <w:szCs w:val="22"/>
              </w:rPr>
              <w:t xml:space="preserve"> </w:t>
            </w:r>
            <w:r w:rsidR="00FC2C87">
              <w:rPr>
                <w:b/>
              </w:rPr>
              <w:t>14</w:t>
            </w:r>
            <w:r w:rsidRPr="00DF7D8B">
              <w:rPr>
                <w:b/>
              </w:rPr>
              <w:t xml:space="preserve"> </w:t>
            </w:r>
            <w:proofErr w:type="gramStart"/>
            <w:r w:rsidR="00FC2C87">
              <w:rPr>
                <w:b/>
              </w:rPr>
              <w:t>июля  2016</w:t>
            </w:r>
            <w:proofErr w:type="gramEnd"/>
            <w:r w:rsidR="00FC2C87">
              <w:rPr>
                <w:b/>
              </w:rPr>
              <w:t xml:space="preserve"> года, №02/361</w:t>
            </w:r>
          </w:p>
          <w:p w:rsidR="000720E7" w:rsidRDefault="00DF7D8B" w:rsidP="00FC2C87">
            <w:pPr>
              <w:pStyle w:val="a4"/>
              <w:spacing w:before="0" w:beforeAutospacing="0" w:after="0" w:afterAutospacing="0"/>
              <w:ind w:right="113" w:firstLine="256"/>
              <w:rPr>
                <w:b/>
                <w:i/>
              </w:rPr>
            </w:pPr>
            <w:r w:rsidRPr="00DF7D8B">
              <w:rPr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  <w:r w:rsidRPr="00DF7D8B">
              <w:rPr>
                <w:b/>
                <w:i/>
              </w:rPr>
              <w:t xml:space="preserve"> </w:t>
            </w:r>
          </w:p>
          <w:p w:rsidR="00FC2C87" w:rsidRDefault="00FC2C87" w:rsidP="00FC2C87">
            <w:pPr>
              <w:spacing w:line="276" w:lineRule="auto"/>
              <w:ind w:right="147"/>
              <w:jc w:val="both"/>
              <w:rPr>
                <w:b/>
              </w:rPr>
            </w:pPr>
            <w:r w:rsidRPr="00372388">
              <w:rPr>
                <w:b/>
                <w:sz w:val="22"/>
                <w:szCs w:val="22"/>
              </w:rPr>
              <w:t xml:space="preserve">ВОПРОС №1: </w:t>
            </w:r>
            <w:r w:rsidRPr="007817E5">
              <w:rPr>
                <w:b/>
                <w:szCs w:val="24"/>
              </w:rPr>
              <w:t>Об утверждении отчета о выполнении бизнес-плана ПАО «Самараэнерго» за 1 квартал 2016 года.</w:t>
            </w: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FC2C87" w:rsidRPr="00372388" w:rsidRDefault="00FC2C87" w:rsidP="00FC2C87">
            <w:pPr>
              <w:ind w:right="147"/>
              <w:jc w:val="both"/>
              <w:rPr>
                <w:i/>
                <w:sz w:val="22"/>
                <w:szCs w:val="22"/>
              </w:rPr>
            </w:pPr>
            <w:r w:rsidRPr="0093068A">
              <w:rPr>
                <w:bCs/>
                <w:szCs w:val="24"/>
                <w:lang w:eastAsia="en-US" w:bidi="en-US"/>
              </w:rPr>
              <w:t>Утвердить отчет о выполнении бизнес-плана ПАО «</w:t>
            </w:r>
            <w:r>
              <w:rPr>
                <w:bCs/>
                <w:szCs w:val="24"/>
                <w:lang w:eastAsia="en-US" w:bidi="en-US"/>
              </w:rPr>
              <w:t>Самараэнерго» за 1 квартал 2016.</w:t>
            </w:r>
          </w:p>
          <w:p w:rsidR="00FC2C87" w:rsidRPr="00372388" w:rsidRDefault="00FC2C87" w:rsidP="00FC2C87">
            <w:pPr>
              <w:pStyle w:val="FR4"/>
              <w:spacing w:before="120"/>
              <w:ind w:left="0" w:right="147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 </w:t>
            </w:r>
          </w:p>
          <w:p w:rsidR="00FC2C87" w:rsidRPr="00372388" w:rsidRDefault="00FC2C87" w:rsidP="00FC2C87">
            <w:pPr>
              <w:pStyle w:val="FR4"/>
              <w:spacing w:before="120"/>
              <w:ind w:left="0" w:right="147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 xml:space="preserve">ВОПРОС №2: </w:t>
            </w:r>
            <w:r w:rsidRPr="00E01CDB">
              <w:rPr>
                <w:b/>
                <w:szCs w:val="24"/>
              </w:rPr>
              <w:t>Об одобрении заключения договора аренды транспортного средства, являющегося сделкой, в совершении которой имеется заинтересованность.</w:t>
            </w: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  <w:lang w:eastAsia="en-US" w:bidi="en-US"/>
              </w:rPr>
            </w:pPr>
            <w:r w:rsidRPr="0093068A">
              <w:rPr>
                <w:szCs w:val="24"/>
                <w:lang w:eastAsia="en-US" w:bidi="en-US"/>
              </w:rPr>
              <w:t>Одобрить заключение договора аренды транспортного средства, являющегося сделкой, в совершении которой имеется заинтересованность, на следующих условиях:</w:t>
            </w:r>
          </w:p>
          <w:p w:rsidR="00FC2C87" w:rsidRPr="0093068A" w:rsidRDefault="00FC2C87" w:rsidP="00FC2C87">
            <w:pPr>
              <w:spacing w:line="276" w:lineRule="auto"/>
              <w:ind w:right="147" w:firstLine="567"/>
              <w:jc w:val="both"/>
              <w:rPr>
                <w:szCs w:val="24"/>
                <w:lang w:eastAsia="en-US" w:bidi="en-US"/>
              </w:rPr>
            </w:pPr>
            <w:r w:rsidRPr="0093068A">
              <w:rPr>
                <w:i/>
                <w:szCs w:val="24"/>
                <w:lang w:eastAsia="en-US" w:bidi="en-US"/>
              </w:rPr>
              <w:t>Стороны договора:</w:t>
            </w:r>
            <w:r w:rsidRPr="0093068A">
              <w:rPr>
                <w:szCs w:val="24"/>
                <w:lang w:eastAsia="en-US" w:bidi="en-US"/>
              </w:rPr>
              <w:t xml:space="preserve"> АО «ССК» - «Арендодатель», ПАО «Самараэнерго» - «Арендатор».</w:t>
            </w:r>
          </w:p>
          <w:p w:rsidR="00FC2C87" w:rsidRPr="0093068A" w:rsidRDefault="00FC2C87" w:rsidP="00FC2C87">
            <w:pPr>
              <w:spacing w:line="276" w:lineRule="auto"/>
              <w:ind w:right="147" w:firstLine="567"/>
              <w:jc w:val="both"/>
              <w:rPr>
                <w:szCs w:val="24"/>
                <w:lang w:eastAsia="en-US" w:bidi="en-US"/>
              </w:rPr>
            </w:pPr>
            <w:r w:rsidRPr="0093068A">
              <w:rPr>
                <w:i/>
                <w:szCs w:val="24"/>
                <w:lang w:eastAsia="en-US" w:bidi="en-US"/>
              </w:rPr>
              <w:t>Предмет договора:</w:t>
            </w:r>
            <w:r w:rsidRPr="0093068A">
              <w:rPr>
                <w:szCs w:val="24"/>
                <w:lang w:eastAsia="en-US" w:bidi="en-US"/>
              </w:rPr>
              <w:t xml:space="preserve"> Арендодатель предоставляет во временное владение и пользование Арендатору за плату транспортное средство VOLVO XC70, легковой, цвет белый, года выпуска 2011, двигатель № В6324S 09071015041, кузов № YV1BZ9556B1104426, регистрационный знак Н803РМ 163, идентификационный номер (VIN) YV1BZ9556B1104426. </w:t>
            </w:r>
          </w:p>
          <w:p w:rsidR="00FC2C87" w:rsidRPr="0093068A" w:rsidRDefault="00FC2C87" w:rsidP="00FC2C87">
            <w:pPr>
              <w:spacing w:line="276" w:lineRule="auto"/>
              <w:ind w:right="147" w:firstLine="567"/>
              <w:jc w:val="both"/>
              <w:rPr>
                <w:szCs w:val="24"/>
                <w:lang w:eastAsia="en-US" w:bidi="en-US"/>
              </w:rPr>
            </w:pPr>
            <w:r w:rsidRPr="0093068A">
              <w:rPr>
                <w:i/>
                <w:szCs w:val="24"/>
                <w:lang w:eastAsia="en-US" w:bidi="en-US"/>
              </w:rPr>
              <w:t>Срок действия договора:</w:t>
            </w:r>
            <w:r w:rsidRPr="0093068A">
              <w:rPr>
                <w:szCs w:val="24"/>
                <w:lang w:eastAsia="en-US" w:bidi="en-US"/>
              </w:rPr>
              <w:t xml:space="preserve"> действует в течение 1 (одного) календарного года.</w:t>
            </w:r>
          </w:p>
          <w:p w:rsidR="00FC2C87" w:rsidRPr="001B518D" w:rsidRDefault="00FC2C87" w:rsidP="00FC2C87">
            <w:pPr>
              <w:pStyle w:val="3"/>
              <w:spacing w:after="0"/>
              <w:ind w:right="147"/>
              <w:jc w:val="both"/>
              <w:rPr>
                <w:sz w:val="24"/>
                <w:szCs w:val="24"/>
              </w:rPr>
            </w:pPr>
            <w:r w:rsidRPr="0093068A">
              <w:rPr>
                <w:i/>
                <w:sz w:val="24"/>
                <w:szCs w:val="24"/>
                <w:lang w:eastAsia="en-US" w:bidi="en-US"/>
              </w:rPr>
              <w:t xml:space="preserve">Цена договора и порядок расчетов: </w:t>
            </w:r>
            <w:r w:rsidRPr="0093068A">
              <w:rPr>
                <w:sz w:val="24"/>
                <w:szCs w:val="24"/>
                <w:lang w:eastAsia="en-US" w:bidi="en-US"/>
              </w:rPr>
              <w:t>а</w:t>
            </w:r>
            <w:r w:rsidRPr="0093068A">
              <w:rPr>
                <w:color w:val="000000"/>
                <w:spacing w:val="5"/>
                <w:sz w:val="24"/>
                <w:szCs w:val="24"/>
              </w:rPr>
              <w:t xml:space="preserve">рендная плата в месяц, уплачиваемая Арендатором по договору, </w:t>
            </w:r>
            <w:r w:rsidRPr="0093068A">
              <w:rPr>
                <w:color w:val="000000"/>
                <w:sz w:val="24"/>
                <w:szCs w:val="24"/>
              </w:rPr>
              <w:t>включает платежи за владение и пользование транспортным средством</w:t>
            </w:r>
            <w:r w:rsidRPr="0093068A">
              <w:rPr>
                <w:color w:val="000000"/>
                <w:spacing w:val="1"/>
                <w:sz w:val="24"/>
                <w:szCs w:val="24"/>
              </w:rPr>
              <w:t xml:space="preserve">. Арендная плата взимается в размере 33 674 (Тридцать три тысячи шестьсот семьдесят четыре) </w:t>
            </w:r>
            <w:r w:rsidRPr="0093068A">
              <w:rPr>
                <w:bCs/>
                <w:color w:val="000000"/>
                <w:spacing w:val="5"/>
                <w:sz w:val="24"/>
                <w:szCs w:val="24"/>
              </w:rPr>
              <w:t xml:space="preserve">рубля 14 копеек в месяц, в </w:t>
            </w:r>
            <w:proofErr w:type="spellStart"/>
            <w:r w:rsidRPr="0093068A">
              <w:rPr>
                <w:bCs/>
                <w:color w:val="000000"/>
                <w:spacing w:val="5"/>
                <w:sz w:val="24"/>
                <w:szCs w:val="24"/>
              </w:rPr>
              <w:t>т.ч</w:t>
            </w:r>
            <w:proofErr w:type="spellEnd"/>
            <w:r w:rsidRPr="0093068A">
              <w:rPr>
                <w:bCs/>
                <w:color w:val="000000"/>
                <w:spacing w:val="5"/>
                <w:sz w:val="24"/>
                <w:szCs w:val="24"/>
              </w:rPr>
              <w:t>. НДС, 5136 (Пять тысяч сто тридцать шесть) рублей 73 копейки.</w:t>
            </w:r>
            <w:r w:rsidRPr="0093068A">
              <w:rPr>
                <w:color w:val="000000"/>
                <w:sz w:val="24"/>
                <w:szCs w:val="24"/>
              </w:rPr>
              <w:t xml:space="preserve"> </w:t>
            </w:r>
            <w:r w:rsidRPr="0093068A">
              <w:rPr>
                <w:color w:val="000000"/>
                <w:spacing w:val="8"/>
                <w:sz w:val="24"/>
                <w:szCs w:val="24"/>
              </w:rPr>
              <w:lastRenderedPageBreak/>
              <w:t xml:space="preserve">Оплата производится путем перечисления денежных средств на расчетный счет </w:t>
            </w:r>
            <w:r w:rsidRPr="0093068A">
              <w:rPr>
                <w:color w:val="000000"/>
                <w:spacing w:val="9"/>
                <w:sz w:val="24"/>
                <w:szCs w:val="24"/>
              </w:rPr>
              <w:t>Арендодателя не позднее 10 числа месяца, следующего за расчетным.</w:t>
            </w:r>
          </w:p>
          <w:p w:rsidR="00FC2C87" w:rsidRDefault="00FC2C87" w:rsidP="00FC2C87">
            <w:pPr>
              <w:ind w:right="147"/>
              <w:jc w:val="both"/>
              <w:rPr>
                <w:i/>
                <w:sz w:val="22"/>
                <w:szCs w:val="22"/>
              </w:rPr>
            </w:pPr>
          </w:p>
          <w:p w:rsidR="00FC2C87" w:rsidRPr="00372388" w:rsidRDefault="00FC2C87" w:rsidP="00FC2C87">
            <w:pPr>
              <w:ind w:right="147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4</w:t>
            </w:r>
            <w:r w:rsidRPr="00372388">
              <w:rPr>
                <w:i/>
                <w:sz w:val="22"/>
                <w:szCs w:val="22"/>
              </w:rPr>
              <w:t xml:space="preserve"> (Зуева О.Х., Сойфер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</w:t>
            </w:r>
            <w:r>
              <w:rPr>
                <w:i/>
                <w:sz w:val="22"/>
                <w:szCs w:val="22"/>
              </w:rPr>
              <w:t>., Руднев М.В.</w:t>
            </w:r>
            <w:r w:rsidRPr="00372388">
              <w:rPr>
                <w:i/>
                <w:sz w:val="22"/>
                <w:szCs w:val="22"/>
              </w:rPr>
              <w:t>)</w:t>
            </w:r>
          </w:p>
          <w:p w:rsidR="00FC2C87" w:rsidRPr="00372388" w:rsidRDefault="00FC2C87" w:rsidP="00FC2C87">
            <w:pPr>
              <w:ind w:left="1985" w:right="147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FC2C87" w:rsidRPr="00372388" w:rsidRDefault="00FC2C87" w:rsidP="00FC2C87">
            <w:pPr>
              <w:pStyle w:val="Normal"/>
              <w:spacing w:line="240" w:lineRule="auto"/>
              <w:ind w:right="147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FC2C87" w:rsidRDefault="00FC2C87" w:rsidP="00FC2C87">
            <w:pPr>
              <w:spacing w:before="100" w:beforeAutospacing="1" w:after="100" w:afterAutospacing="1"/>
              <w:ind w:right="147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FC2C87" w:rsidRDefault="00FC2C87" w:rsidP="00FC2C87">
            <w:pPr>
              <w:spacing w:before="100" w:beforeAutospacing="1" w:after="100" w:afterAutospacing="1"/>
              <w:ind w:right="147"/>
              <w:jc w:val="both"/>
            </w:pPr>
            <w:r>
              <w:rPr>
                <w:i/>
                <w:iCs/>
              </w:rPr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FC2C87" w:rsidRDefault="00FC2C87" w:rsidP="00FC2C87">
            <w:pPr>
              <w:spacing w:before="100" w:beforeAutospacing="1" w:after="100" w:afterAutospacing="1"/>
              <w:ind w:right="14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При подсчете голосов по данному вопросу не учитывается голос О.Г. </w:t>
            </w:r>
            <w:proofErr w:type="spellStart"/>
            <w:r>
              <w:rPr>
                <w:i/>
                <w:iCs/>
              </w:rPr>
              <w:t>Бибиковой</w:t>
            </w:r>
            <w:proofErr w:type="spellEnd"/>
            <w:r>
              <w:rPr>
                <w:i/>
                <w:iCs/>
              </w:rPr>
              <w:t>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FC2C87" w:rsidRDefault="00FC2C87" w:rsidP="00FC2C87">
            <w:pPr>
              <w:pStyle w:val="FR4"/>
              <w:spacing w:before="120"/>
              <w:ind w:left="0" w:right="147" w:firstLine="0"/>
              <w:rPr>
                <w:rFonts w:ascii="Times New Roman" w:hAnsi="Times New Roman"/>
                <w:i/>
                <w:iCs/>
              </w:rPr>
            </w:pPr>
            <w:r w:rsidRPr="003E2531">
              <w:rPr>
                <w:rFonts w:ascii="Times New Roman" w:hAnsi="Times New Roman"/>
                <w:i/>
                <w:iCs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FC2C87" w:rsidRDefault="00FC2C87" w:rsidP="00FC2C87">
            <w:pPr>
              <w:pStyle w:val="FR4"/>
              <w:spacing w:before="120"/>
              <w:ind w:left="0" w:right="147" w:firstLine="0"/>
              <w:jc w:val="both"/>
              <w:rPr>
                <w:rFonts w:ascii="Times New Roman" w:hAnsi="Times New Roman"/>
                <w:i/>
                <w:iCs/>
              </w:rPr>
            </w:pPr>
            <w:r w:rsidRPr="003E2531">
              <w:rPr>
                <w:rFonts w:ascii="Times New Roman" w:hAnsi="Times New Roman"/>
                <w:i/>
                <w:iCs/>
              </w:rPr>
              <w:t xml:space="preserve">При подсчете голосов по данному вопросу не учитывается голос 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3E2531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В</w:t>
            </w:r>
            <w:r w:rsidRPr="003E2531"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Козлова</w:t>
            </w:r>
            <w:r w:rsidRPr="003E2531">
              <w:rPr>
                <w:rFonts w:ascii="Times New Roman" w:hAnsi="Times New Roman"/>
                <w:i/>
                <w:iCs/>
              </w:rPr>
              <w:t>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FC2C87" w:rsidRDefault="00FC2C87" w:rsidP="00FC2C87">
            <w:pPr>
              <w:pStyle w:val="FR4"/>
              <w:spacing w:before="120"/>
              <w:ind w:left="0" w:right="147" w:firstLine="0"/>
              <w:jc w:val="both"/>
              <w:rPr>
                <w:rFonts w:ascii="Times New Roman" w:hAnsi="Times New Roman"/>
                <w:i/>
                <w:iCs/>
              </w:rPr>
            </w:pPr>
            <w:r w:rsidRPr="003E2531">
              <w:rPr>
                <w:rFonts w:ascii="Times New Roman" w:hAnsi="Times New Roman"/>
                <w:i/>
                <w:iCs/>
              </w:rPr>
              <w:t xml:space="preserve">При подсчете голосов по данному вопросу не учитывается голос 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3E2531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Ш</w:t>
            </w:r>
            <w:r w:rsidRPr="003E2531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Розенцвайга</w:t>
            </w:r>
            <w:proofErr w:type="spellEnd"/>
            <w:r w:rsidRPr="003E2531">
              <w:rPr>
                <w:rFonts w:ascii="Times New Roman" w:hAnsi="Times New Roman"/>
                <w:i/>
                <w:iCs/>
              </w:rPr>
              <w:t>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FC2C87" w:rsidRDefault="00FC2C87" w:rsidP="00FC2C87">
            <w:pPr>
              <w:pStyle w:val="FR4"/>
              <w:spacing w:before="120"/>
              <w:ind w:left="0" w:right="147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FC2C87" w:rsidRDefault="00FC2C87" w:rsidP="00FC2C87">
            <w:pPr>
              <w:spacing w:line="276" w:lineRule="auto"/>
              <w:ind w:right="147"/>
              <w:jc w:val="both"/>
              <w:rPr>
                <w:b/>
                <w:sz w:val="22"/>
                <w:szCs w:val="22"/>
              </w:rPr>
            </w:pP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ВОПРОС №3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7817E5">
              <w:rPr>
                <w:b/>
                <w:bCs/>
                <w:iCs/>
                <w:szCs w:val="24"/>
              </w:rPr>
              <w:t>Об одобрении стоимости услуг АО «</w:t>
            </w:r>
            <w:proofErr w:type="spellStart"/>
            <w:r w:rsidRPr="007817E5">
              <w:rPr>
                <w:b/>
                <w:bCs/>
                <w:iCs/>
                <w:szCs w:val="24"/>
              </w:rPr>
              <w:t>Газаудит</w:t>
            </w:r>
            <w:proofErr w:type="spellEnd"/>
            <w:r w:rsidRPr="007817E5">
              <w:rPr>
                <w:b/>
                <w:bCs/>
                <w:iCs/>
                <w:szCs w:val="24"/>
              </w:rPr>
              <w:t>» по проведению аудита финансово – хозяйственной деятельности ПАО «Самараэнерго» по РСБУ за 2016 год.</w:t>
            </w: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FC2C87" w:rsidRPr="001B518D" w:rsidRDefault="00FC2C87" w:rsidP="00FC2C87">
            <w:pPr>
              <w:ind w:right="147"/>
              <w:jc w:val="both"/>
            </w:pPr>
            <w:r w:rsidRPr="007817E5">
              <w:rPr>
                <w:szCs w:val="24"/>
              </w:rPr>
              <w:t>Определить стоимость оплаты услуг аудитора АО «</w:t>
            </w:r>
            <w:proofErr w:type="spellStart"/>
            <w:r w:rsidRPr="007817E5">
              <w:rPr>
                <w:szCs w:val="24"/>
              </w:rPr>
              <w:t>Газаудит</w:t>
            </w:r>
            <w:proofErr w:type="spellEnd"/>
            <w:r w:rsidRPr="007817E5">
              <w:rPr>
                <w:szCs w:val="24"/>
              </w:rPr>
              <w:t>» по проведению аудита финансово-хозяйственной деятельности Общества по РСБУ за 2016 год в размере 865 000 (Восемьсот шестьдесят пять тысяч) рублей, НДС не облагается.</w:t>
            </w:r>
          </w:p>
          <w:p w:rsidR="00FC2C87" w:rsidRDefault="00FC2C87" w:rsidP="00FC2C87">
            <w:pPr>
              <w:ind w:right="147"/>
              <w:jc w:val="both"/>
              <w:rPr>
                <w:i/>
                <w:sz w:val="22"/>
                <w:szCs w:val="22"/>
              </w:rPr>
            </w:pPr>
          </w:p>
          <w:p w:rsidR="00FC2C87" w:rsidRPr="00372388" w:rsidRDefault="00FC2C87" w:rsidP="00FC2C87">
            <w:pPr>
              <w:ind w:right="147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372388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А.Ш., Руднев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Шашков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С.А.)</w:t>
            </w:r>
          </w:p>
          <w:p w:rsidR="00FC2C87" w:rsidRPr="00372388" w:rsidRDefault="00FC2C87" w:rsidP="00FC2C87">
            <w:pPr>
              <w:ind w:left="1985" w:right="147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FC2C87" w:rsidRPr="00372388" w:rsidRDefault="00FC2C87" w:rsidP="00FC2C87">
            <w:pPr>
              <w:pStyle w:val="Normal"/>
              <w:spacing w:line="240" w:lineRule="auto"/>
              <w:ind w:right="147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FC2C87" w:rsidRPr="00372388" w:rsidRDefault="00FC2C87" w:rsidP="00FC2C87">
            <w:pPr>
              <w:pStyle w:val="FR4"/>
              <w:spacing w:before="120"/>
              <w:ind w:left="0" w:right="147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FC2C87" w:rsidRDefault="00FC2C87" w:rsidP="00FC2C87">
            <w:pPr>
              <w:spacing w:line="276" w:lineRule="auto"/>
              <w:ind w:right="147"/>
              <w:jc w:val="both"/>
              <w:rPr>
                <w:b/>
                <w:sz w:val="22"/>
                <w:szCs w:val="22"/>
              </w:rPr>
            </w:pPr>
          </w:p>
          <w:p w:rsidR="00FC2C87" w:rsidRPr="004B551A" w:rsidRDefault="00FC2C87" w:rsidP="00FC2C87">
            <w:pPr>
              <w:spacing w:line="276" w:lineRule="auto"/>
              <w:ind w:right="147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ВОПРОС №4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7817E5">
              <w:rPr>
                <w:b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за I квартал 2016 года.</w:t>
            </w: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FC2C87" w:rsidRPr="00837949" w:rsidRDefault="00FC2C87" w:rsidP="00FC2C87">
            <w:pPr>
              <w:ind w:right="147"/>
              <w:jc w:val="both"/>
            </w:pPr>
            <w:r w:rsidRPr="0093068A">
              <w:t>Принять к сведению отчет Генерального директора Общества о выполнении ключевых показателей эффективности, а также расчет размера квартальной премии за I квартал 2016 года, в соответствии с Приложением №1.</w:t>
            </w:r>
          </w:p>
          <w:p w:rsidR="00FC2C87" w:rsidRDefault="00FC2C87" w:rsidP="00FC2C87">
            <w:pPr>
              <w:ind w:right="147"/>
              <w:jc w:val="both"/>
              <w:rPr>
                <w:i/>
                <w:sz w:val="22"/>
                <w:szCs w:val="22"/>
              </w:rPr>
            </w:pPr>
          </w:p>
          <w:p w:rsidR="00FC2C87" w:rsidRPr="00372388" w:rsidRDefault="00FC2C87" w:rsidP="00FC2C87">
            <w:pPr>
              <w:ind w:right="147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372388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А.Ш., Руднев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Шашков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С.А.)</w:t>
            </w:r>
          </w:p>
          <w:p w:rsidR="00FC2C87" w:rsidRPr="00372388" w:rsidRDefault="00FC2C87" w:rsidP="00FC2C87">
            <w:pPr>
              <w:ind w:left="1985" w:right="147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FC2C87" w:rsidRPr="00372388" w:rsidRDefault="00FC2C87" w:rsidP="00FC2C87">
            <w:pPr>
              <w:pStyle w:val="Normal"/>
              <w:spacing w:line="240" w:lineRule="auto"/>
              <w:ind w:right="147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FC2C87" w:rsidRPr="00372388" w:rsidRDefault="00FC2C87" w:rsidP="00FC2C87">
            <w:pPr>
              <w:pStyle w:val="FR4"/>
              <w:spacing w:before="120"/>
              <w:ind w:left="0" w:right="147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 xml:space="preserve">ПО РЕЗУЛЬТАТАМ ГОЛОСОВАНИЯ РЕШЕНИЕ ПРИНЯТО. </w:t>
            </w:r>
          </w:p>
          <w:p w:rsidR="00FC2C87" w:rsidRDefault="00FC2C87" w:rsidP="00FC2C87">
            <w:pPr>
              <w:spacing w:line="276" w:lineRule="auto"/>
              <w:ind w:right="147"/>
              <w:jc w:val="both"/>
              <w:rPr>
                <w:b/>
                <w:sz w:val="22"/>
                <w:szCs w:val="22"/>
              </w:rPr>
            </w:pPr>
          </w:p>
          <w:p w:rsidR="00FC2C87" w:rsidRPr="00837949" w:rsidRDefault="00FC2C87" w:rsidP="00FC2C87">
            <w:pPr>
              <w:spacing w:line="276" w:lineRule="auto"/>
              <w:ind w:right="147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ВОПРОС №5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7817E5">
              <w:rPr>
                <w:b/>
                <w:szCs w:val="24"/>
              </w:rPr>
              <w:t>Об одобрении заключения кредитного договора с АО КБ «</w:t>
            </w:r>
            <w:proofErr w:type="spellStart"/>
            <w:r w:rsidRPr="007817E5">
              <w:rPr>
                <w:b/>
                <w:szCs w:val="24"/>
              </w:rPr>
              <w:t>Газбанк</w:t>
            </w:r>
            <w:proofErr w:type="spellEnd"/>
            <w:r w:rsidRPr="007817E5">
              <w:rPr>
                <w:b/>
                <w:szCs w:val="24"/>
              </w:rPr>
              <w:t>», являющегося сделкой</w:t>
            </w:r>
            <w:r>
              <w:rPr>
                <w:b/>
                <w:szCs w:val="24"/>
              </w:rPr>
              <w:t>,</w:t>
            </w:r>
            <w:r w:rsidRPr="007817E5">
              <w:rPr>
                <w:b/>
                <w:szCs w:val="24"/>
              </w:rPr>
              <w:t xml:space="preserve"> в совершении которой имеется заинтересованность.</w:t>
            </w: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FC2C87" w:rsidRDefault="00FC2C87" w:rsidP="00FC2C87">
            <w:pPr>
              <w:spacing w:line="276" w:lineRule="auto"/>
              <w:ind w:right="147"/>
              <w:jc w:val="both"/>
            </w:pPr>
            <w:r>
              <w:t>Одобрить заключение кредитного договора, являющегося сделкой, в совершении которой имеется заинтересованность, на следующих условиях:</w:t>
            </w:r>
          </w:p>
          <w:p w:rsidR="00FC2C87" w:rsidRDefault="00FC2C87" w:rsidP="00FC2C87">
            <w:pPr>
              <w:spacing w:line="276" w:lineRule="auto"/>
              <w:ind w:right="147"/>
              <w:jc w:val="both"/>
            </w:pPr>
            <w:r>
              <w:t>ПАО «Самараэнерго» - Заемщик, АО КБ «</w:t>
            </w:r>
            <w:proofErr w:type="spellStart"/>
            <w:r>
              <w:t>Газбанк</w:t>
            </w:r>
            <w:proofErr w:type="spellEnd"/>
            <w:r>
              <w:t>» - Кредитор.</w:t>
            </w:r>
          </w:p>
          <w:p w:rsidR="00FC2C87" w:rsidRPr="00837949" w:rsidRDefault="00FC2C87" w:rsidP="00FC2C87">
            <w:pPr>
              <w:spacing w:line="276" w:lineRule="auto"/>
              <w:ind w:right="147"/>
              <w:jc w:val="both"/>
            </w:pPr>
            <w:r>
              <w:t>Кредитор обязуется предоставить Заемщику кредитные средства на пополнение оборотных средств. Максимальный размер единовременной ссудной задолженности (лимит задолженности) – не более 100 000 000,00 (Сто миллионов) рублей, с правом досрочного погашения, без обеспечения. Срок действия договора – 12 месяцев. Процентная ставка устанавливается в момент выдачи транша.</w:t>
            </w:r>
          </w:p>
          <w:p w:rsidR="00FC2C87" w:rsidRDefault="00FC2C87" w:rsidP="00FC2C87">
            <w:pPr>
              <w:ind w:right="147"/>
              <w:jc w:val="both"/>
              <w:rPr>
                <w:i/>
                <w:sz w:val="22"/>
                <w:szCs w:val="22"/>
              </w:rPr>
            </w:pPr>
          </w:p>
          <w:p w:rsidR="00FC2C87" w:rsidRPr="00372388" w:rsidRDefault="00FC2C87" w:rsidP="00FC2C87">
            <w:pPr>
              <w:ind w:right="147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6</w:t>
            </w:r>
            <w:r w:rsidRPr="00372388">
              <w:rPr>
                <w:i/>
                <w:sz w:val="22"/>
                <w:szCs w:val="22"/>
              </w:rPr>
              <w:t xml:space="preserve"> (Бибикова О.Г., Козлов А.В., 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Розенцвайг</w:t>
            </w:r>
            <w:proofErr w:type="spellEnd"/>
            <w:r>
              <w:rPr>
                <w:i/>
                <w:sz w:val="22"/>
                <w:szCs w:val="22"/>
              </w:rPr>
              <w:t xml:space="preserve"> А.Ш., Руднев М.В.)</w:t>
            </w:r>
          </w:p>
          <w:p w:rsidR="00FC2C87" w:rsidRPr="00372388" w:rsidRDefault="00FC2C87" w:rsidP="00FC2C87">
            <w:pPr>
              <w:ind w:left="1985" w:right="147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FC2C87" w:rsidRPr="00372388" w:rsidRDefault="00FC2C87" w:rsidP="00FC2C87">
            <w:pPr>
              <w:pStyle w:val="Normal"/>
              <w:spacing w:line="240" w:lineRule="auto"/>
              <w:ind w:right="147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FC2C87" w:rsidRDefault="00FC2C87" w:rsidP="00FC2C87">
            <w:pPr>
              <w:spacing w:before="100" w:beforeAutospacing="1" w:after="100" w:afterAutospacing="1"/>
              <w:ind w:right="147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FC2C87" w:rsidRDefault="00FC2C87" w:rsidP="00FC2C87">
            <w:pPr>
              <w:spacing w:before="100" w:beforeAutospacing="1" w:after="100" w:afterAutospacing="1"/>
              <w:ind w:right="147"/>
              <w:jc w:val="both"/>
            </w:pPr>
            <w:r>
              <w:rPr>
                <w:i/>
                <w:iCs/>
              </w:rPr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FC2C87" w:rsidRDefault="00FC2C87" w:rsidP="00FC2C87">
            <w:pPr>
              <w:spacing w:before="100" w:beforeAutospacing="1" w:after="100" w:afterAutospacing="1"/>
              <w:ind w:right="14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 подсчете голосов по данному вопросу не учитывается голос М.В. Сойфера,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FC2C87" w:rsidRPr="003E2531" w:rsidRDefault="00FC2C87" w:rsidP="00FC2C87">
            <w:pPr>
              <w:pStyle w:val="FR4"/>
              <w:spacing w:before="120"/>
              <w:ind w:left="0" w:right="147"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E2531">
              <w:rPr>
                <w:rFonts w:ascii="Times New Roman" w:hAnsi="Times New Roman"/>
                <w:i/>
                <w:iCs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FC2C87" w:rsidRPr="00372388" w:rsidRDefault="00FC2C87" w:rsidP="00FC2C87">
            <w:pPr>
              <w:pStyle w:val="FR4"/>
              <w:spacing w:before="120"/>
              <w:ind w:left="0" w:right="147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FC2C87" w:rsidRDefault="00FC2C87" w:rsidP="00FC2C87">
            <w:pPr>
              <w:spacing w:line="276" w:lineRule="auto"/>
              <w:ind w:right="147"/>
              <w:jc w:val="both"/>
              <w:rPr>
                <w:b/>
                <w:sz w:val="22"/>
                <w:szCs w:val="22"/>
              </w:rPr>
            </w:pPr>
          </w:p>
          <w:p w:rsidR="00FC2C87" w:rsidRPr="00837949" w:rsidRDefault="00FC2C87" w:rsidP="00FC2C87">
            <w:pPr>
              <w:tabs>
                <w:tab w:val="left" w:pos="567"/>
              </w:tabs>
              <w:spacing w:line="276" w:lineRule="auto"/>
              <w:ind w:right="14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ВОПРОС №6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7817E5">
              <w:rPr>
                <w:b/>
                <w:szCs w:val="24"/>
              </w:rPr>
              <w:t>Об одобрении заключения кредитного соглашения №3716-010-КЛ об открытии кредитной линии с «Газпромбанк» (Акционерное общество),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FC2C87" w:rsidRPr="00372388" w:rsidRDefault="00FC2C87" w:rsidP="00FC2C87">
            <w:pPr>
              <w:spacing w:line="276" w:lineRule="auto"/>
              <w:ind w:right="147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 xml:space="preserve">1. Одобрить в соответствии с </w:t>
            </w:r>
            <w:proofErr w:type="spellStart"/>
            <w:r w:rsidRPr="0093068A">
              <w:rPr>
                <w:szCs w:val="24"/>
              </w:rPr>
              <w:t>пп</w:t>
            </w:r>
            <w:proofErr w:type="spellEnd"/>
            <w:r w:rsidRPr="0093068A">
              <w:rPr>
                <w:szCs w:val="24"/>
              </w:rPr>
              <w:t xml:space="preserve">. 22 п. 15.1 Устава и п. 2.4.2 Положения о кредитной политике </w:t>
            </w:r>
            <w:r w:rsidRPr="0093068A">
              <w:rPr>
                <w:bCs/>
                <w:szCs w:val="24"/>
              </w:rPr>
              <w:t xml:space="preserve">(утвержденного Решением Совета директоров от 09.09.2011 г. Протокол №6/273, в редакции от 16.12.2014) </w:t>
            </w:r>
            <w:r w:rsidRPr="0093068A">
              <w:rPr>
                <w:szCs w:val="24"/>
              </w:rPr>
              <w:t xml:space="preserve">заключение </w:t>
            </w:r>
            <w:r w:rsidRPr="0093068A">
              <w:rPr>
                <w:bCs/>
                <w:szCs w:val="24"/>
              </w:rPr>
              <w:t>Публичным акционерным обществом энергетики и электрификации «Самараэнерго»</w:t>
            </w:r>
            <w:r w:rsidRPr="0093068A">
              <w:rPr>
                <w:szCs w:val="24"/>
              </w:rPr>
              <w:t xml:space="preserve"> (далее – Общество, Заемщик) Кредитного соглашения № 3716-010-КЛ об открытии кредитной линии (далее – Кредитное соглашение) с «Газпромбанк» (Акционерное общество) (далее – Банк ГПБ (АО), Кредитор, Банк) на следующих существенных условиях: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>1.1.</w:t>
            </w:r>
            <w:r w:rsidRPr="0093068A">
              <w:rPr>
                <w:i/>
                <w:szCs w:val="24"/>
              </w:rPr>
              <w:t xml:space="preserve"> Предмет Кредитного соглашения:</w:t>
            </w:r>
            <w:r w:rsidRPr="0093068A">
              <w:rPr>
                <w:szCs w:val="24"/>
              </w:rPr>
              <w:t xml:space="preserve"> По Кредитному соглашению Кредитор обязуется открыть Заемщику кредитную линию в размере и на условиях, указанных в Кредитном соглашении, а Заемщик обязуется возвратить кредит, полученный по кредитной линии, уплатить проценты и выполнить иные обязательства, предусмотренные Кредитным соглашением.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 xml:space="preserve">1.2. </w:t>
            </w:r>
            <w:r w:rsidRPr="0093068A">
              <w:rPr>
                <w:i/>
                <w:szCs w:val="24"/>
              </w:rPr>
              <w:t>Лимит задолженности по кредитной линии</w:t>
            </w:r>
            <w:r w:rsidRPr="0093068A">
              <w:rPr>
                <w:szCs w:val="24"/>
              </w:rPr>
              <w:t xml:space="preserve"> (максимальный размер единовременной задолженности по кредитной линии) составляет не более 1.000.000.000,00 (Один миллиард, 00/100) рублей.</w:t>
            </w:r>
          </w:p>
          <w:p w:rsidR="00FC2C87" w:rsidRPr="0093068A" w:rsidRDefault="00FC2C87" w:rsidP="00FC2C87">
            <w:pPr>
              <w:ind w:right="147"/>
              <w:jc w:val="both"/>
              <w:rPr>
                <w:bCs/>
                <w:szCs w:val="24"/>
              </w:rPr>
            </w:pPr>
            <w:r w:rsidRPr="0093068A">
              <w:rPr>
                <w:szCs w:val="24"/>
              </w:rPr>
              <w:t xml:space="preserve">1.3. </w:t>
            </w:r>
            <w:r w:rsidRPr="0093068A">
              <w:rPr>
                <w:i/>
                <w:szCs w:val="24"/>
              </w:rPr>
              <w:t>Период использования кредитной линии:</w:t>
            </w:r>
            <w:r w:rsidRPr="0093068A">
              <w:rPr>
                <w:szCs w:val="24"/>
              </w:rPr>
              <w:t xml:space="preserve"> </w:t>
            </w:r>
            <w:r w:rsidRPr="0093068A">
              <w:rPr>
                <w:bCs/>
                <w:szCs w:val="24"/>
              </w:rPr>
              <w:t>Не позднее 30 (Тридцать) календарных дней до окончания срока действия Кредитного соглашения.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 xml:space="preserve">1.4. </w:t>
            </w:r>
            <w:r w:rsidRPr="0093068A">
              <w:rPr>
                <w:i/>
                <w:szCs w:val="24"/>
              </w:rPr>
              <w:t>Использование Кредитной линии</w:t>
            </w:r>
            <w:r w:rsidRPr="0093068A">
              <w:rPr>
                <w:szCs w:val="24"/>
              </w:rPr>
              <w:t xml:space="preserve"> производится траншами кредита, каждый из которых предоставляется на срок не более 30 (Тридцать) календарных дней с учетом даты, указанной в пункте 1.5 настоящего Решения.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 xml:space="preserve">1.5. </w:t>
            </w:r>
            <w:r w:rsidRPr="0093068A">
              <w:rPr>
                <w:i/>
                <w:szCs w:val="24"/>
              </w:rPr>
              <w:t>Дата погашения (возврата) задолженности по основному долгу</w:t>
            </w:r>
            <w:r w:rsidRPr="0093068A">
              <w:rPr>
                <w:szCs w:val="24"/>
              </w:rPr>
              <w:t xml:space="preserve"> по кредитной линии – дата, наступающая не позднее 12 (Двенадцать) календарных месяцев от даты подписания Кредитного соглашения.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lastRenderedPageBreak/>
              <w:t xml:space="preserve">1.6. </w:t>
            </w:r>
            <w:r w:rsidRPr="0093068A">
              <w:rPr>
                <w:i/>
                <w:szCs w:val="24"/>
              </w:rPr>
              <w:t xml:space="preserve">Целевое назначение Кредита: </w:t>
            </w:r>
            <w:r w:rsidRPr="0093068A">
              <w:rPr>
                <w:szCs w:val="24"/>
              </w:rPr>
              <w:t>Финансирование финансово-хозяйственной деятельности.</w:t>
            </w:r>
          </w:p>
          <w:p w:rsidR="00FC2C87" w:rsidRPr="0093068A" w:rsidRDefault="00FC2C87" w:rsidP="00FC2C87">
            <w:pPr>
              <w:ind w:right="147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1.7. </w:t>
            </w:r>
            <w:r w:rsidRPr="0093068A">
              <w:rPr>
                <w:bCs/>
                <w:szCs w:val="24"/>
              </w:rPr>
              <w:t>Процентная ставка по кредитной линии устанавливается отдельно по каждому траншу кредита в зависимости от срока действия транша кредита и согласовывается с Кредитором в заявлении на использование кредитной линии (далее – Заявление). При предоставлении транша кредита (зачислении суммы транша кредита на расчетный счет Заемщика в Банке ГПБ (АО)) Заемщик уплачивает Кредитору проценты за пользование кредитом в размере, указанном в Заявлении. При несогласии Кредитора с условиями предоставления транша кредита, указанными в Заявлении Заемщика, Кредитор в течение 2 (Двух) рабочих дней с даты получения Заявления направляет Заемщику уведомление о непредставлении транша кредита на условиях, указанных в Заявлении.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bCs/>
                <w:szCs w:val="24"/>
              </w:rPr>
              <w:t xml:space="preserve">1.8. </w:t>
            </w:r>
            <w:r w:rsidRPr="0093068A">
              <w:rPr>
                <w:i/>
                <w:szCs w:val="24"/>
              </w:rPr>
              <w:t>Уплата процентов</w:t>
            </w:r>
            <w:r w:rsidRPr="0093068A">
              <w:rPr>
                <w:szCs w:val="24"/>
              </w:rPr>
              <w:t xml:space="preserve"> по фактической задолженности осуществляется ежемесячно не позднее 25 (Двадцать пятого) числа соответствующего календарного месяца. При этом первая уплата процентов осуществляется не позднее последнего рабочего дня календарного месяца, в котором был предоставлен первый транш в рамках кредитной линии.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>1.9. Расчет процентов осуществляется с учетом норм Положения Банка России от 22.12.2014 № 446-П «О порядке определения доходов, расходов и прочего совокупного дохода кредитных организаций». При начислении суммы процентов в расчет принимаются величина процентной ставки (в процентах годовых) и фактическое количество календарных дней, на которое предоставлен кредит. При этом за базу берется фактическое количество календарных дней в году (365 или 366 дней соответственно).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 xml:space="preserve">1.10. Начиная с даты, следующей за датой возникновения просроченной задолженности по основному долгу по кредитной линии и до даты окончательного погашения задолженности по кредитной линии, Банк вправе потребовать уплаты </w:t>
            </w:r>
            <w:r w:rsidRPr="0093068A">
              <w:rPr>
                <w:i/>
                <w:szCs w:val="24"/>
              </w:rPr>
              <w:t>неустойки</w:t>
            </w:r>
            <w:r w:rsidRPr="0093068A">
              <w:rPr>
                <w:szCs w:val="24"/>
              </w:rPr>
              <w:t xml:space="preserve"> в размере не более 0,1 (Ноль целых одна десятая) процентов, начисляемой на сумму просроченной задолженности по основному долгу по кредитной линии за каждый день просрочки.</w:t>
            </w:r>
          </w:p>
          <w:p w:rsidR="00FC2C87" w:rsidRPr="0093068A" w:rsidRDefault="00FC2C87" w:rsidP="00FC2C87">
            <w:pPr>
              <w:ind w:right="147"/>
              <w:jc w:val="both"/>
              <w:rPr>
                <w:bCs/>
                <w:szCs w:val="24"/>
              </w:rPr>
            </w:pPr>
            <w:r w:rsidRPr="0093068A">
              <w:rPr>
                <w:bCs/>
                <w:szCs w:val="24"/>
              </w:rPr>
              <w:t xml:space="preserve">1.11. Начиная с даты, следующей за датой возникновения просроченной задолженности по процентам и до даты ее окончательного погашения, Банк вправе потребовать уплаты </w:t>
            </w:r>
            <w:r w:rsidRPr="0093068A">
              <w:rPr>
                <w:bCs/>
                <w:i/>
                <w:szCs w:val="24"/>
              </w:rPr>
              <w:t>неустойки</w:t>
            </w:r>
            <w:r w:rsidRPr="0093068A">
              <w:rPr>
                <w:bCs/>
                <w:szCs w:val="24"/>
              </w:rPr>
              <w:t xml:space="preserve"> в размере </w:t>
            </w:r>
            <w:r w:rsidRPr="0093068A">
              <w:rPr>
                <w:szCs w:val="24"/>
              </w:rPr>
              <w:t xml:space="preserve">не более 0,1 (Ноль целых одна десятая) </w:t>
            </w:r>
            <w:r w:rsidRPr="0093068A">
              <w:rPr>
                <w:bCs/>
                <w:szCs w:val="24"/>
              </w:rPr>
              <w:t>процентов, начисляемой на сумму просроченной задолженности по процентам по кредитной линии за каждый день просрочки.</w:t>
            </w:r>
          </w:p>
          <w:p w:rsidR="00FC2C87" w:rsidRPr="0093068A" w:rsidRDefault="00FC2C87" w:rsidP="00FC2C87">
            <w:pPr>
              <w:ind w:right="147"/>
              <w:jc w:val="both"/>
              <w:rPr>
                <w:bCs/>
                <w:szCs w:val="24"/>
              </w:rPr>
            </w:pPr>
            <w:r w:rsidRPr="0093068A">
              <w:rPr>
                <w:bCs/>
                <w:szCs w:val="24"/>
              </w:rPr>
              <w:t xml:space="preserve">1.12. Кредитным соглашением предусмотрена </w:t>
            </w:r>
            <w:r w:rsidRPr="0093068A">
              <w:rPr>
                <w:bCs/>
                <w:i/>
                <w:szCs w:val="24"/>
              </w:rPr>
              <w:t>возможность досрочного взыскания</w:t>
            </w:r>
            <w:r w:rsidRPr="0093068A">
              <w:rPr>
                <w:bCs/>
                <w:szCs w:val="24"/>
              </w:rPr>
              <w:t xml:space="preserve"> Банком суммы кредита и процентов за его использование.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bCs/>
                <w:szCs w:val="24"/>
              </w:rPr>
              <w:t xml:space="preserve">1.13. </w:t>
            </w:r>
            <w:r w:rsidRPr="0093068A">
              <w:rPr>
                <w:szCs w:val="24"/>
              </w:rPr>
              <w:t xml:space="preserve">Кредитным соглашением предусмотрено, что Кредитор в одностороннем порядке может </w:t>
            </w:r>
            <w:r w:rsidRPr="0093068A">
              <w:rPr>
                <w:i/>
                <w:szCs w:val="24"/>
              </w:rPr>
              <w:t>изменить размер процентной ставки</w:t>
            </w:r>
            <w:r w:rsidRPr="0093068A">
              <w:rPr>
                <w:szCs w:val="24"/>
              </w:rPr>
              <w:t>, в том числе в связи с изменением Банком России ключевой ставки, а также имеет безусловное право увеличить процентную ставку за пользование кредитом по фактической задолженности на 2 (Два) процентных пункта при невыполнении Заемщиком обязательств:</w:t>
            </w:r>
          </w:p>
          <w:p w:rsidR="00FC2C87" w:rsidRPr="0093068A" w:rsidRDefault="00FC2C87" w:rsidP="00FC2C87">
            <w:pPr>
              <w:ind w:right="147"/>
              <w:jc w:val="both"/>
              <w:rPr>
                <w:bCs/>
                <w:szCs w:val="24"/>
              </w:rPr>
            </w:pPr>
            <w:r w:rsidRPr="0093068A">
              <w:rPr>
                <w:szCs w:val="24"/>
              </w:rPr>
              <w:t xml:space="preserve">- по предоставлению Кредитору </w:t>
            </w:r>
            <w:r w:rsidRPr="0093068A">
              <w:rPr>
                <w:bCs/>
                <w:szCs w:val="24"/>
              </w:rPr>
              <w:t>права на списание денежных средств инкассовыми поручениями Банка (без дополнительных распоряжений Заемщика) со счетов, открытых Заемщиком в АО КБ «ГАЗБАНК» (№40702810000020000314, №40702810600020000380, №40702810340000001067) и АО «</w:t>
            </w:r>
            <w:proofErr w:type="spellStart"/>
            <w:r w:rsidRPr="0093068A">
              <w:rPr>
                <w:bCs/>
                <w:szCs w:val="24"/>
              </w:rPr>
              <w:t>Альфа-банк</w:t>
            </w:r>
            <w:proofErr w:type="spellEnd"/>
            <w:r w:rsidRPr="0093068A">
              <w:rPr>
                <w:bCs/>
                <w:szCs w:val="24"/>
              </w:rPr>
              <w:t>» (№40702810929180001875), Поволжском Банке ПАО Сбербанк (№40702810254020002428), в срок не позднее 30 (Тридцать) рабочих дней с даты заключения Кредитного соглашения;</w:t>
            </w:r>
          </w:p>
          <w:p w:rsidR="00FC2C87" w:rsidRPr="0093068A" w:rsidRDefault="00FC2C87" w:rsidP="00FC2C87">
            <w:pPr>
              <w:ind w:right="147"/>
              <w:jc w:val="both"/>
              <w:rPr>
                <w:bCs/>
                <w:szCs w:val="24"/>
              </w:rPr>
            </w:pPr>
            <w:r w:rsidRPr="0093068A">
              <w:rPr>
                <w:bCs/>
                <w:szCs w:val="24"/>
              </w:rPr>
              <w:t>- по обеспечению ежемесячных поступлений денежных средств на счета Заемщика в Банке, начиная с 1</w:t>
            </w:r>
            <w:r w:rsidRPr="0093068A">
              <w:rPr>
                <w:szCs w:val="24"/>
              </w:rPr>
              <w:t>–</w:t>
            </w:r>
            <w:proofErr w:type="spellStart"/>
            <w:r w:rsidRPr="0093068A">
              <w:rPr>
                <w:bCs/>
                <w:szCs w:val="24"/>
              </w:rPr>
              <w:t>го</w:t>
            </w:r>
            <w:proofErr w:type="spellEnd"/>
            <w:r w:rsidRPr="0093068A">
              <w:rPr>
                <w:bCs/>
                <w:szCs w:val="24"/>
              </w:rPr>
              <w:t xml:space="preserve"> числа месяца, следующего за месяцем первого использования кредитной линии и в течение срока действия Кредитного соглашения, в размере не менее 100% максимальной ссудной задолженности по кредитной линии за предыдущий месяц.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bCs/>
                <w:szCs w:val="24"/>
              </w:rPr>
              <w:t xml:space="preserve">1.14. </w:t>
            </w:r>
            <w:r w:rsidRPr="0093068A">
              <w:rPr>
                <w:szCs w:val="24"/>
              </w:rPr>
              <w:t>В течение срока действия Кредитного соглашения, начиная с месяца, следующего за месяцем, в котором был получен кредит, и до даты (дня) погашения (возврата) кредита, Заемщик обязуется соблюдать следующие условия: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>- не допускать снижения выручки от реализации за последний отчетный период (нарастающим итогом с начала текущего календарного года), определяемой на основании ежеквартальной/годовой отчетности Заемщика, по сравнению с аналогичным периодом предыдущего года более чем на 15 (Пятнадцать) процентов;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>- не допускать превышения объема предоставленных финансовых вложений (векселя (за исключением векселей банков, полученных в счет оплаты электроэнергии), займы, права требования, приобретение новых акций) определяемых на основании ежеквартальной/годовой отчетности Заемщика, более 800 000 000,00 (Восемьсот миллионов, 00/100) рублей;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>- не допускать снижения соотношения прибыли до уплаты процентов, налогов и амортизации (EBITDA</w:t>
            </w:r>
            <w:r w:rsidRPr="0093068A">
              <w:rPr>
                <w:szCs w:val="24"/>
                <w:vertAlign w:val="superscript"/>
              </w:rPr>
              <w:footnoteReference w:id="1"/>
            </w:r>
            <w:r w:rsidRPr="0093068A">
              <w:rPr>
                <w:szCs w:val="24"/>
              </w:rPr>
              <w:t>) с учетом корректировки показателя EBIDTA на отрицательное сальдо прибыли / убытка прошлых лет, выявленных в отчетном периоде и отрицательное сальдо прочих доходов/ расходов, полученных за счет переоценки ценных бумаг на фондовом рынке и процентов к уплате</w:t>
            </w:r>
            <w:r w:rsidRPr="0093068A">
              <w:rPr>
                <w:szCs w:val="24"/>
                <w:vertAlign w:val="superscript"/>
              </w:rPr>
              <w:footnoteReference w:id="2"/>
            </w:r>
            <w:r w:rsidRPr="0093068A">
              <w:rPr>
                <w:szCs w:val="24"/>
              </w:rPr>
              <w:t xml:space="preserve"> ниже уровня 1,5;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>- не допускать увеличения соотношения общего долга</w:t>
            </w:r>
            <w:r w:rsidRPr="0093068A">
              <w:rPr>
                <w:szCs w:val="24"/>
                <w:vertAlign w:val="superscript"/>
              </w:rPr>
              <w:footnoteReference w:id="3"/>
            </w:r>
            <w:r w:rsidRPr="0093068A">
              <w:rPr>
                <w:szCs w:val="24"/>
              </w:rPr>
              <w:t xml:space="preserve"> к среднемесячной выручке, рассчитанной по еж</w:t>
            </w:r>
            <w:bookmarkStart w:id="2" w:name="_GoBack"/>
            <w:bookmarkEnd w:id="2"/>
            <w:r w:rsidRPr="0093068A">
              <w:rPr>
                <w:szCs w:val="24"/>
              </w:rPr>
              <w:t>еквартальной / годовой отчетности Заемщика за последние четыре отчетных квартала выше уровня 1,5;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lastRenderedPageBreak/>
              <w:t>- не допускать превышения дефицита (отрицательного значения) собственного оборотного капитала</w:t>
            </w:r>
            <w:r w:rsidRPr="0093068A">
              <w:rPr>
                <w:szCs w:val="24"/>
                <w:vertAlign w:val="superscript"/>
              </w:rPr>
              <w:footnoteReference w:id="4"/>
            </w:r>
            <w:r w:rsidRPr="0093068A">
              <w:rPr>
                <w:szCs w:val="24"/>
              </w:rPr>
              <w:t xml:space="preserve"> более 50% (Пятьдесят процентов) среднемесячной выручки Заемщика, рассчитанной по данным отчета о финансовых результатах за последние четыре отчетных квартала.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bCs/>
                <w:szCs w:val="24"/>
              </w:rPr>
              <w:t xml:space="preserve">1.15. </w:t>
            </w:r>
            <w:r w:rsidRPr="0093068A">
              <w:rPr>
                <w:szCs w:val="24"/>
              </w:rPr>
              <w:t>Кредитным соглашением предусмотрено, что при невыполнении Заемщиком обязательств, указанных в пункте 1.13 настоящего Решения, Банк ГПБ (АО) вправе по своему выбору: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>- увеличить Заемщику процентную ставку за пользование кредитом по фактической задолженности и по вновь выдаваемым траншам кредита на 1 (один) процентный пункт. Начисление повышенных процентов производится, начиная с десятого числа первого календарного месяца, следующего за календарным кварталом, в котором данное нарушение было допущено, и до десятого числа первого календарного месяца, следующего за календарным кварталом, в котором данное нарушение было устранено;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proofErr w:type="gramStart"/>
            <w:r w:rsidRPr="0093068A">
              <w:rPr>
                <w:szCs w:val="24"/>
              </w:rPr>
              <w:t>и</w:t>
            </w:r>
            <w:proofErr w:type="gramEnd"/>
            <w:r w:rsidRPr="0093068A">
              <w:rPr>
                <w:szCs w:val="24"/>
              </w:rPr>
              <w:t>/или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>- требовать от Заемщика предоставления дополнительного обеспечения в виде залога имущества (в том числе общей стоимостью не менее суммы основного долга на дату предоставления такого обеспечения</w:t>
            </w:r>
            <w:r w:rsidRPr="0093068A">
              <w:rPr>
                <w:szCs w:val="24"/>
                <w:vertAlign w:val="superscript"/>
              </w:rPr>
              <w:footnoteReference w:id="5"/>
            </w:r>
            <w:r w:rsidRPr="0093068A">
              <w:rPr>
                <w:szCs w:val="24"/>
              </w:rPr>
              <w:t xml:space="preserve">) и/или поручительств(а) (в том числе поручительства физических лиц – </w:t>
            </w:r>
            <w:proofErr w:type="spellStart"/>
            <w:r w:rsidRPr="0093068A">
              <w:rPr>
                <w:szCs w:val="24"/>
              </w:rPr>
              <w:t>бенефициарных</w:t>
            </w:r>
            <w:proofErr w:type="spellEnd"/>
            <w:r w:rsidRPr="0093068A">
              <w:rPr>
                <w:szCs w:val="24"/>
              </w:rPr>
              <w:t xml:space="preserve"> владельцев, которые в совокупности прямо или косвенно владеют не менее чем 51 процентом в капитале Заемщика) и/или банковской(их) гарантии(й);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proofErr w:type="gramStart"/>
            <w:r w:rsidRPr="0093068A">
              <w:rPr>
                <w:szCs w:val="24"/>
              </w:rPr>
              <w:t>и</w:t>
            </w:r>
            <w:proofErr w:type="gramEnd"/>
            <w:r w:rsidRPr="0093068A">
              <w:rPr>
                <w:szCs w:val="24"/>
              </w:rPr>
              <w:t>/или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r w:rsidRPr="0093068A">
              <w:rPr>
                <w:szCs w:val="24"/>
              </w:rPr>
              <w:t>- потребовать выполнения денежных обязательств Заемщика ранее установленных по Кредитному соглашению сроков, в том числе в полном объеме, или в объеме, позволяющем сократить долю Банка ГПБ (АО) в финансовом портфеле</w:t>
            </w:r>
            <w:r w:rsidRPr="0093068A">
              <w:rPr>
                <w:szCs w:val="24"/>
                <w:vertAlign w:val="superscript"/>
              </w:rPr>
              <w:footnoteReference w:id="6"/>
            </w:r>
            <w:r w:rsidRPr="0093068A">
              <w:rPr>
                <w:szCs w:val="24"/>
              </w:rPr>
              <w:t xml:space="preserve"> Заемщика до 20 (двадцать) процентов,</w:t>
            </w:r>
          </w:p>
          <w:p w:rsidR="00FC2C87" w:rsidRPr="0093068A" w:rsidRDefault="00FC2C87" w:rsidP="00FC2C87">
            <w:pPr>
              <w:ind w:right="147"/>
              <w:jc w:val="both"/>
              <w:rPr>
                <w:szCs w:val="24"/>
              </w:rPr>
            </w:pPr>
            <w:proofErr w:type="gramStart"/>
            <w:r w:rsidRPr="0093068A">
              <w:rPr>
                <w:szCs w:val="24"/>
              </w:rPr>
              <w:t>при</w:t>
            </w:r>
            <w:proofErr w:type="gramEnd"/>
            <w:r w:rsidRPr="0093068A">
              <w:rPr>
                <w:szCs w:val="24"/>
              </w:rPr>
              <w:t xml:space="preserve"> этом Банк ГПБ (АО) вправе предъявить как одно из перечисленных в настоящем пункте требований, так и одновременно несколько из них в сочетании по своему усмотрению.</w:t>
            </w:r>
          </w:p>
          <w:p w:rsidR="00FC2C87" w:rsidRPr="0093068A" w:rsidRDefault="00FC2C87" w:rsidP="00FC2C87">
            <w:pPr>
              <w:ind w:right="147"/>
              <w:jc w:val="both"/>
              <w:rPr>
                <w:bCs/>
                <w:szCs w:val="24"/>
              </w:rPr>
            </w:pPr>
            <w:r w:rsidRPr="0093068A">
              <w:rPr>
                <w:bCs/>
                <w:szCs w:val="24"/>
              </w:rPr>
              <w:t>1.16. Кредитор вправе в одностороннем порядке</w:t>
            </w:r>
            <w:r w:rsidRPr="0093068A">
              <w:rPr>
                <w:bCs/>
                <w:i/>
                <w:szCs w:val="24"/>
              </w:rPr>
              <w:t xml:space="preserve"> изменить очередность погашения задолженности, </w:t>
            </w:r>
            <w:r w:rsidRPr="0093068A">
              <w:rPr>
                <w:bCs/>
                <w:szCs w:val="24"/>
              </w:rPr>
              <w:t>предусмотренную в Кредитном соглашении.</w:t>
            </w:r>
          </w:p>
          <w:p w:rsidR="00FC2C87" w:rsidRPr="0093068A" w:rsidRDefault="00FC2C87" w:rsidP="00FC2C87">
            <w:pPr>
              <w:ind w:right="147"/>
              <w:jc w:val="both"/>
              <w:rPr>
                <w:bCs/>
                <w:szCs w:val="24"/>
              </w:rPr>
            </w:pPr>
            <w:r w:rsidRPr="0093068A">
              <w:rPr>
                <w:bCs/>
                <w:szCs w:val="24"/>
              </w:rPr>
              <w:t>1.17. Срок действия Кредитного соглашения: Кредитное соглашение вступает в силу с даты его подписания сторонами и действует до даты выполнения обязательств Заемщика по Кредитному соглашению.</w:t>
            </w:r>
          </w:p>
          <w:p w:rsidR="00FC2C87" w:rsidRPr="0093068A" w:rsidRDefault="00FC2C87" w:rsidP="00FC2C87">
            <w:pPr>
              <w:ind w:right="147"/>
              <w:jc w:val="both"/>
              <w:rPr>
                <w:bCs/>
                <w:szCs w:val="24"/>
              </w:rPr>
            </w:pPr>
            <w:r w:rsidRPr="0093068A">
              <w:rPr>
                <w:bCs/>
                <w:szCs w:val="24"/>
              </w:rPr>
              <w:t>1.18. И на иных условиях, установленных Кредитором по Кредитному соглашению.</w:t>
            </w:r>
          </w:p>
          <w:p w:rsidR="00FC2C87" w:rsidRDefault="00FC2C87" w:rsidP="00FC2C87">
            <w:pPr>
              <w:pStyle w:val="3"/>
              <w:spacing w:after="0"/>
              <w:ind w:right="147"/>
              <w:jc w:val="both"/>
              <w:rPr>
                <w:bCs/>
                <w:sz w:val="24"/>
                <w:szCs w:val="24"/>
              </w:rPr>
            </w:pPr>
            <w:r w:rsidRPr="0093068A">
              <w:rPr>
                <w:bCs/>
                <w:sz w:val="24"/>
                <w:szCs w:val="24"/>
              </w:rPr>
              <w:t>2. Одобрить в соответствии с п. 2.4.2 Положения о Кредитной политике (утвержденного Решением Совета директоров от 09.09.2011 г. Протокол №6/273) предоставление Кредитору права на списание денежных средств инкассовыми поручениями Банка (без дополнительных распоряжений Общества) со счетов, открытых Обществом в АО КБ «ГАЗБАНК» (№40702810000020000314, №40702810600020000380, №40702810340000001067), АО «</w:t>
            </w:r>
            <w:proofErr w:type="spellStart"/>
            <w:r w:rsidRPr="0093068A">
              <w:rPr>
                <w:bCs/>
                <w:sz w:val="24"/>
                <w:szCs w:val="24"/>
              </w:rPr>
              <w:t>Альфа-банк</w:t>
            </w:r>
            <w:proofErr w:type="spellEnd"/>
            <w:r w:rsidRPr="0093068A">
              <w:rPr>
                <w:bCs/>
                <w:sz w:val="24"/>
                <w:szCs w:val="24"/>
              </w:rPr>
              <w:t>» (№40702810929180001875), Поволжском Банке ПАО Сбербанк России (№40702810254020002428) в срок не позднее 30 (Тридцать) рабочих дней с даты заключения Кредитного соглашения.</w:t>
            </w:r>
          </w:p>
          <w:p w:rsidR="00FC2C87" w:rsidRDefault="00FC2C87" w:rsidP="00FC2C87">
            <w:pPr>
              <w:ind w:right="147"/>
              <w:jc w:val="both"/>
              <w:rPr>
                <w:i/>
                <w:sz w:val="22"/>
                <w:szCs w:val="22"/>
              </w:rPr>
            </w:pPr>
          </w:p>
          <w:p w:rsidR="00FC2C87" w:rsidRPr="00372388" w:rsidRDefault="00FC2C87" w:rsidP="00FC2C87">
            <w:pPr>
              <w:ind w:right="147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372388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А.Ш., Руднев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Шашков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С.А.)</w:t>
            </w:r>
          </w:p>
          <w:p w:rsidR="00FC2C87" w:rsidRPr="00372388" w:rsidRDefault="00FC2C87" w:rsidP="00FC2C87">
            <w:pPr>
              <w:ind w:left="1985" w:right="147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FC2C87" w:rsidRPr="00372388" w:rsidRDefault="00FC2C87" w:rsidP="00FC2C87">
            <w:pPr>
              <w:pStyle w:val="Normal"/>
              <w:spacing w:line="240" w:lineRule="auto"/>
              <w:ind w:right="147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FC2C87" w:rsidRPr="00372388" w:rsidRDefault="00FC2C87" w:rsidP="00FC2C87">
            <w:pPr>
              <w:pStyle w:val="FR4"/>
              <w:spacing w:before="120"/>
              <w:ind w:left="0" w:right="147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FC2C87" w:rsidRPr="00FC2C87" w:rsidRDefault="00FC2C87" w:rsidP="00FC2C87">
            <w:pPr>
              <w:pStyle w:val="a4"/>
              <w:spacing w:before="0" w:beforeAutospacing="0" w:after="0" w:afterAutospacing="0"/>
              <w:ind w:right="113" w:firstLine="256"/>
              <w:rPr>
                <w:szCs w:val="22"/>
              </w:rPr>
            </w:pPr>
          </w:p>
        </w:tc>
      </w:tr>
      <w:tr w:rsidR="000720E7" w:rsidRPr="000912CC" w:rsidTr="00DF7D8B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DF7D8B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DF7D8B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DF7D8B" w:rsidRDefault="00FC2C87" w:rsidP="00C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FC2C87" w:rsidP="000C2F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июл</w:t>
            </w:r>
            <w:r w:rsidR="00791A3E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DF7D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30" w:rsidRDefault="00D37330" w:rsidP="00FC2C87">
      <w:r>
        <w:separator/>
      </w:r>
    </w:p>
  </w:endnote>
  <w:endnote w:type="continuationSeparator" w:id="0">
    <w:p w:rsidR="00D37330" w:rsidRDefault="00D37330" w:rsidP="00F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30" w:rsidRDefault="00D37330" w:rsidP="00FC2C87">
      <w:r>
        <w:separator/>
      </w:r>
    </w:p>
  </w:footnote>
  <w:footnote w:type="continuationSeparator" w:id="0">
    <w:p w:rsidR="00D37330" w:rsidRDefault="00D37330" w:rsidP="00FC2C87">
      <w:r>
        <w:continuationSeparator/>
      </w:r>
    </w:p>
  </w:footnote>
  <w:footnote w:id="1">
    <w:p w:rsidR="00FC2C87" w:rsidRPr="00264EE2" w:rsidRDefault="00FC2C87" w:rsidP="00FC2C87">
      <w:pPr>
        <w:pStyle w:val="a9"/>
        <w:ind w:right="-1"/>
        <w:jc w:val="both"/>
        <w:rPr>
          <w:sz w:val="16"/>
          <w:szCs w:val="16"/>
        </w:rPr>
      </w:pPr>
      <w:r w:rsidRPr="00396C8A">
        <w:rPr>
          <w:sz w:val="16"/>
          <w:szCs w:val="16"/>
          <w:vertAlign w:val="superscript"/>
        </w:rPr>
        <w:footnoteRef/>
      </w:r>
      <w:r w:rsidRPr="00264EE2">
        <w:rPr>
          <w:sz w:val="16"/>
          <w:szCs w:val="16"/>
        </w:rPr>
        <w:t>Здесь и далее по тексту прибыль до уплаты процентов, налогов и амортизации (</w:t>
      </w:r>
      <w:r w:rsidRPr="00396C8A">
        <w:rPr>
          <w:sz w:val="16"/>
          <w:szCs w:val="16"/>
        </w:rPr>
        <w:t>EBITDA</w:t>
      </w:r>
      <w:r w:rsidRPr="00264EE2">
        <w:rPr>
          <w:sz w:val="16"/>
          <w:szCs w:val="16"/>
        </w:rPr>
        <w:t>) определяется по данным отчета о финансовых результатах и регистров бухгалтерского учета Заемщика: Стр.2300 (за последние 4 календарных квартала) + Стр.2330 (за последние 4 календарных квартала) - Стр.2320 (за последние 4 календарных квартала) + Начисленная амортизация (за последние 4 календарных квартала).</w:t>
      </w:r>
    </w:p>
  </w:footnote>
  <w:footnote w:id="2">
    <w:p w:rsidR="00FC2C87" w:rsidRPr="00264EE2" w:rsidRDefault="00FC2C87" w:rsidP="00FC2C87">
      <w:pPr>
        <w:pStyle w:val="a9"/>
        <w:ind w:right="-1"/>
        <w:jc w:val="both"/>
        <w:rPr>
          <w:sz w:val="16"/>
          <w:szCs w:val="16"/>
        </w:rPr>
      </w:pPr>
      <w:r w:rsidRPr="00396C8A">
        <w:rPr>
          <w:sz w:val="16"/>
          <w:szCs w:val="16"/>
          <w:vertAlign w:val="superscript"/>
        </w:rPr>
        <w:footnoteRef/>
      </w:r>
      <w:r w:rsidRPr="00264EE2">
        <w:rPr>
          <w:sz w:val="16"/>
          <w:szCs w:val="16"/>
        </w:rPr>
        <w:t>Проценты к уплате определяются по данным отчета о финансовых результатах Заемщика: Стр.2330 (за последние 4 календарных квартала).</w:t>
      </w:r>
    </w:p>
  </w:footnote>
  <w:footnote w:id="3">
    <w:p w:rsidR="00FC2C87" w:rsidRPr="00264EE2" w:rsidRDefault="00FC2C87" w:rsidP="00FC2C87">
      <w:pPr>
        <w:pStyle w:val="a9"/>
        <w:ind w:right="-1"/>
        <w:jc w:val="both"/>
        <w:rPr>
          <w:sz w:val="16"/>
          <w:szCs w:val="16"/>
        </w:rPr>
      </w:pPr>
      <w:r w:rsidRPr="00396C8A">
        <w:rPr>
          <w:sz w:val="16"/>
          <w:szCs w:val="16"/>
          <w:vertAlign w:val="superscript"/>
        </w:rPr>
        <w:footnoteRef/>
      </w:r>
      <w:r w:rsidRPr="00264EE2">
        <w:rPr>
          <w:sz w:val="16"/>
          <w:szCs w:val="16"/>
        </w:rPr>
        <w:t>Здесь и далее по тексту общий долг определяется по данным бухгалтерского баланса Заемщика: Стр.1410 Заемные средства (долгосрочные) + Стр.1510 Заемные средства (краткосрочные).</w:t>
      </w:r>
    </w:p>
  </w:footnote>
  <w:footnote w:id="4">
    <w:p w:rsidR="00FC2C87" w:rsidRPr="00264EE2" w:rsidRDefault="00FC2C87" w:rsidP="00FC2C87">
      <w:pPr>
        <w:pStyle w:val="a9"/>
        <w:ind w:right="-1"/>
        <w:jc w:val="both"/>
        <w:rPr>
          <w:color w:val="0000FF"/>
          <w:sz w:val="16"/>
          <w:szCs w:val="16"/>
        </w:rPr>
      </w:pPr>
      <w:r w:rsidRPr="00052EA6">
        <w:rPr>
          <w:color w:val="0000FF"/>
          <w:sz w:val="16"/>
          <w:szCs w:val="16"/>
          <w:vertAlign w:val="superscript"/>
        </w:rPr>
        <w:footnoteRef/>
      </w:r>
      <w:r w:rsidRPr="00264EE2">
        <w:rPr>
          <w:color w:val="0000FF"/>
          <w:sz w:val="16"/>
          <w:szCs w:val="16"/>
        </w:rPr>
        <w:t>Собственный оборотный капитал рассчитывается по данным бухгалтерского баланса Заемщика: Стр.1200 Оборотные активы – Стр. 1500 Краткосрочные обязательства – сомнительная дебиторская задолженность (сумма исковой, реструктуризированной, мораторной и нереальной к взысканию задолженности (за исключением мораторной), определяемой на основании справки Заемщика).</w:t>
      </w:r>
    </w:p>
  </w:footnote>
  <w:footnote w:id="5">
    <w:p w:rsidR="00FC2C87" w:rsidRPr="00264EE2" w:rsidRDefault="00FC2C87" w:rsidP="00FC2C87">
      <w:pPr>
        <w:pStyle w:val="a9"/>
        <w:ind w:right="-1"/>
        <w:jc w:val="both"/>
        <w:rPr>
          <w:sz w:val="16"/>
          <w:szCs w:val="16"/>
        </w:rPr>
      </w:pPr>
      <w:r w:rsidRPr="00396C8A">
        <w:rPr>
          <w:rStyle w:val="a8"/>
          <w:sz w:val="16"/>
          <w:szCs w:val="16"/>
        </w:rPr>
        <w:footnoteRef/>
      </w:r>
      <w:r w:rsidRPr="00264EE2">
        <w:rPr>
          <w:sz w:val="16"/>
          <w:szCs w:val="16"/>
        </w:rPr>
        <w:t>При этом в стоимость заложенного имущества не засчитывается стоимость заложенных в пользу Банка имущественных прав (требований) по контрактам.</w:t>
      </w:r>
    </w:p>
  </w:footnote>
  <w:footnote w:id="6">
    <w:p w:rsidR="00FC2C87" w:rsidRPr="00264EE2" w:rsidRDefault="00FC2C87" w:rsidP="00FC2C87">
      <w:pPr>
        <w:pStyle w:val="a9"/>
        <w:ind w:right="-1"/>
        <w:jc w:val="both"/>
        <w:rPr>
          <w:sz w:val="18"/>
          <w:szCs w:val="18"/>
        </w:rPr>
      </w:pPr>
      <w:r w:rsidRPr="00396C8A">
        <w:rPr>
          <w:rStyle w:val="a8"/>
          <w:sz w:val="16"/>
          <w:szCs w:val="16"/>
        </w:rPr>
        <w:footnoteRef/>
      </w:r>
      <w:r w:rsidRPr="00264EE2">
        <w:rPr>
          <w:sz w:val="16"/>
          <w:szCs w:val="16"/>
        </w:rPr>
        <w:t>Под финансовым портфелем в рамках Кредитного соглашения понимается портфель обязательств по сделкам с кредитным риском, включающий кредиты, кредитные линии, овердрафты, обязательства в рамках непокрытых документарных безотзывных аккредитивов с финансированием, а также обязательств по договорам лизинга.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3072C"/>
    <w:multiLevelType w:val="hybridMultilevel"/>
    <w:tmpl w:val="B54A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03ED5"/>
    <w:multiLevelType w:val="multilevel"/>
    <w:tmpl w:val="810878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760D5"/>
    <w:multiLevelType w:val="multilevel"/>
    <w:tmpl w:val="A9D25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B301A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2F2720"/>
    <w:rsid w:val="00385277"/>
    <w:rsid w:val="00445DA2"/>
    <w:rsid w:val="0045562B"/>
    <w:rsid w:val="0046127A"/>
    <w:rsid w:val="004D7B67"/>
    <w:rsid w:val="00511E4F"/>
    <w:rsid w:val="005E6915"/>
    <w:rsid w:val="00670C50"/>
    <w:rsid w:val="00686C62"/>
    <w:rsid w:val="006B1E45"/>
    <w:rsid w:val="006D1A1C"/>
    <w:rsid w:val="007141F0"/>
    <w:rsid w:val="00743ACC"/>
    <w:rsid w:val="00791A3E"/>
    <w:rsid w:val="008146F1"/>
    <w:rsid w:val="008817B1"/>
    <w:rsid w:val="008A5431"/>
    <w:rsid w:val="008B65BD"/>
    <w:rsid w:val="00947EAF"/>
    <w:rsid w:val="009A71FC"/>
    <w:rsid w:val="00A07833"/>
    <w:rsid w:val="00A1677D"/>
    <w:rsid w:val="00A34F74"/>
    <w:rsid w:val="00B56364"/>
    <w:rsid w:val="00B726A0"/>
    <w:rsid w:val="00C72BDC"/>
    <w:rsid w:val="00CD1328"/>
    <w:rsid w:val="00CE0835"/>
    <w:rsid w:val="00D37330"/>
    <w:rsid w:val="00D4267A"/>
    <w:rsid w:val="00D5244B"/>
    <w:rsid w:val="00DC344E"/>
    <w:rsid w:val="00DF7D8B"/>
    <w:rsid w:val="00E12FB0"/>
    <w:rsid w:val="00E17671"/>
    <w:rsid w:val="00E20896"/>
    <w:rsid w:val="00E21360"/>
    <w:rsid w:val="00E7352E"/>
    <w:rsid w:val="00E804F1"/>
    <w:rsid w:val="00F64D00"/>
    <w:rsid w:val="00FA3D21"/>
    <w:rsid w:val="00F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28317-07F2-460A-9A77-C1DBE4C3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customStyle="1" w:styleId="7">
    <w:name w:val="Обычный7"/>
    <w:rsid w:val="000B301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8">
    <w:name w:val="Обычный8"/>
    <w:rsid w:val="00DF7D8B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FC2C8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footnote reference"/>
    <w:uiPriority w:val="99"/>
    <w:rsid w:val="00FC2C87"/>
    <w:rPr>
      <w:vertAlign w:val="superscript"/>
    </w:rPr>
  </w:style>
  <w:style w:type="paragraph" w:styleId="a9">
    <w:name w:val="No Spacing"/>
    <w:uiPriority w:val="1"/>
    <w:qFormat/>
    <w:rsid w:val="00FC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48F6-CEE6-4E0D-B273-5E474772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3</cp:revision>
  <cp:lastPrinted>2016-06-22T12:43:00Z</cp:lastPrinted>
  <dcterms:created xsi:type="dcterms:W3CDTF">2016-07-15T05:02:00Z</dcterms:created>
  <dcterms:modified xsi:type="dcterms:W3CDTF">2016-07-15T05:08:00Z</dcterms:modified>
</cp:coreProperties>
</file>