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p w:rsidR="001662F1" w:rsidRPr="00C371B8" w:rsidRDefault="001662F1" w:rsidP="001662F1">
      <w:pPr>
        <w:jc w:val="center"/>
        <w:rPr>
          <w:b/>
          <w:bCs/>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272"/>
      </w:tblGrid>
      <w:tr w:rsidR="00A13C5C" w:rsidRPr="00C371B8" w:rsidTr="00A93B06">
        <w:tc>
          <w:tcPr>
            <w:tcW w:w="10376" w:type="dxa"/>
            <w:gridSpan w:val="2"/>
          </w:tcPr>
          <w:p w:rsidR="00A13C5C" w:rsidRPr="00C371B8" w:rsidRDefault="00A13C5C">
            <w:pPr>
              <w:jc w:val="center"/>
              <w:rPr>
                <w:sz w:val="24"/>
                <w:szCs w:val="24"/>
              </w:rPr>
            </w:pPr>
            <w:r w:rsidRPr="00C371B8">
              <w:rPr>
                <w:sz w:val="24"/>
                <w:szCs w:val="24"/>
              </w:rPr>
              <w:t>1. Общие сведения</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72" w:type="dxa"/>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72" w:type="dxa"/>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72" w:type="dxa"/>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1.4. ОГРН эмитента</w:t>
            </w:r>
          </w:p>
        </w:tc>
        <w:tc>
          <w:tcPr>
            <w:tcW w:w="5272" w:type="dxa"/>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1.5. ИНН эмитента</w:t>
            </w:r>
          </w:p>
        </w:tc>
        <w:tc>
          <w:tcPr>
            <w:tcW w:w="5272" w:type="dxa"/>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72" w:type="dxa"/>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72" w:type="dxa"/>
          </w:tcPr>
          <w:p w:rsidR="00BE3D8E" w:rsidRPr="00C371B8" w:rsidRDefault="00C32111" w:rsidP="00212E5F">
            <w:pPr>
              <w:ind w:left="85" w:right="85"/>
              <w:jc w:val="both"/>
              <w:rPr>
                <w:color w:val="000000" w:themeColor="text1"/>
                <w:sz w:val="24"/>
                <w:szCs w:val="24"/>
              </w:rPr>
            </w:pPr>
            <w:hyperlink r:id="rId6" w:history="1">
              <w:r w:rsidR="002F5740" w:rsidRPr="00C371B8">
                <w:rPr>
                  <w:rStyle w:val="a9"/>
                  <w:color w:val="000000" w:themeColor="text1"/>
                  <w:sz w:val="24"/>
                  <w:szCs w:val="24"/>
                  <w:lang w:val="en-US"/>
                </w:rPr>
                <w:t>www</w:t>
              </w:r>
              <w:r w:rsidR="002F5740" w:rsidRPr="00C371B8">
                <w:rPr>
                  <w:rStyle w:val="a9"/>
                  <w:color w:val="000000" w:themeColor="text1"/>
                  <w:sz w:val="24"/>
                  <w:szCs w:val="24"/>
                </w:rPr>
                <w:t>.</w:t>
              </w:r>
              <w:r w:rsidR="002F5740" w:rsidRPr="00C371B8">
                <w:rPr>
                  <w:rStyle w:val="a9"/>
                  <w:color w:val="000000" w:themeColor="text1"/>
                  <w:sz w:val="24"/>
                  <w:szCs w:val="24"/>
                  <w:lang w:val="en-US"/>
                </w:rPr>
                <w:t>disclosure</w:t>
              </w:r>
              <w:r w:rsidR="002F5740" w:rsidRPr="00C371B8">
                <w:rPr>
                  <w:rStyle w:val="a9"/>
                  <w:color w:val="000000" w:themeColor="text1"/>
                  <w:sz w:val="24"/>
                  <w:szCs w:val="24"/>
                </w:rPr>
                <w:t>.1</w:t>
              </w:r>
              <w:r w:rsidR="002F5740" w:rsidRPr="00C371B8">
                <w:rPr>
                  <w:rStyle w:val="a9"/>
                  <w:color w:val="000000" w:themeColor="text1"/>
                  <w:sz w:val="24"/>
                  <w:szCs w:val="24"/>
                  <w:lang w:val="en-US"/>
                </w:rPr>
                <w:t>prime</w:t>
              </w:r>
              <w:r w:rsidR="002F5740" w:rsidRPr="00C371B8">
                <w:rPr>
                  <w:rStyle w:val="a9"/>
                  <w:color w:val="000000" w:themeColor="text1"/>
                  <w:sz w:val="24"/>
                  <w:szCs w:val="24"/>
                </w:rPr>
                <w:t>.</w:t>
              </w:r>
              <w:r w:rsidR="002F5740" w:rsidRPr="00C371B8">
                <w:rPr>
                  <w:rStyle w:val="a9"/>
                  <w:color w:val="000000" w:themeColor="text1"/>
                  <w:sz w:val="24"/>
                  <w:szCs w:val="24"/>
                  <w:lang w:val="en-US"/>
                </w:rPr>
                <w:t>ru</w:t>
              </w:r>
              <w:r w:rsidR="002F5740" w:rsidRPr="00C371B8">
                <w:rPr>
                  <w:rStyle w:val="a9"/>
                  <w:color w:val="000000" w:themeColor="text1"/>
                  <w:sz w:val="24"/>
                  <w:szCs w:val="24"/>
                </w:rPr>
                <w:t>/</w:t>
              </w:r>
              <w:r w:rsidR="002F5740" w:rsidRPr="00C371B8">
                <w:rPr>
                  <w:rStyle w:val="a9"/>
                  <w:color w:val="000000" w:themeColor="text1"/>
                  <w:sz w:val="24"/>
                  <w:szCs w:val="24"/>
                  <w:lang w:val="en-US"/>
                </w:rPr>
                <w:t>Portal</w:t>
              </w:r>
              <w:r w:rsidR="002F5740" w:rsidRPr="00C371B8">
                <w:rPr>
                  <w:rStyle w:val="a9"/>
                  <w:color w:val="000000" w:themeColor="text1"/>
                  <w:sz w:val="24"/>
                  <w:szCs w:val="24"/>
                </w:rPr>
                <w:t>/</w:t>
              </w:r>
              <w:r w:rsidR="002F5740" w:rsidRPr="00C371B8">
                <w:rPr>
                  <w:rStyle w:val="a9"/>
                  <w:color w:val="000000" w:themeColor="text1"/>
                  <w:sz w:val="24"/>
                  <w:szCs w:val="24"/>
                  <w:lang w:val="en-US"/>
                </w:rPr>
                <w:t>Default</w:t>
              </w:r>
              <w:r w:rsidR="002F5740" w:rsidRPr="00C371B8">
                <w:rPr>
                  <w:rStyle w:val="a9"/>
                  <w:color w:val="000000" w:themeColor="text1"/>
                  <w:sz w:val="24"/>
                  <w:szCs w:val="24"/>
                </w:rPr>
                <w:t>.</w:t>
              </w:r>
              <w:r w:rsidR="002F5740" w:rsidRPr="00C371B8">
                <w:rPr>
                  <w:rStyle w:val="a9"/>
                  <w:color w:val="000000" w:themeColor="text1"/>
                  <w:sz w:val="24"/>
                  <w:szCs w:val="24"/>
                  <w:lang w:val="en-US"/>
                </w:rPr>
                <w:t>aspx</w:t>
              </w:r>
              <w:r w:rsidR="002F5740" w:rsidRPr="00C371B8">
                <w:rPr>
                  <w:rStyle w:val="a9"/>
                  <w:color w:val="000000" w:themeColor="text1"/>
                  <w:sz w:val="24"/>
                  <w:szCs w:val="24"/>
                </w:rPr>
                <w:t>?</w:t>
              </w:r>
              <w:r w:rsidR="002F5740" w:rsidRPr="00C371B8">
                <w:rPr>
                  <w:rStyle w:val="a9"/>
                  <w:color w:val="000000" w:themeColor="text1"/>
                  <w:sz w:val="24"/>
                  <w:szCs w:val="24"/>
                  <w:lang w:val="en-US"/>
                </w:rPr>
                <w:t>emId</w:t>
              </w:r>
              <w:r w:rsidR="002F5740" w:rsidRPr="00C371B8">
                <w:rPr>
                  <w:rStyle w:val="a9"/>
                  <w:color w:val="000000" w:themeColor="text1"/>
                  <w:sz w:val="24"/>
                  <w:szCs w:val="24"/>
                </w:rPr>
                <w:t>=6315222985</w:t>
              </w:r>
            </w:hyperlink>
          </w:p>
          <w:p w:rsidR="004D2CB3" w:rsidRPr="00C371B8" w:rsidRDefault="00EC7B9F" w:rsidP="004D2CB3">
            <w:pPr>
              <w:ind w:left="85" w:right="85"/>
              <w:jc w:val="both"/>
              <w:rPr>
                <w:sz w:val="24"/>
                <w:szCs w:val="24"/>
              </w:rPr>
            </w:pPr>
            <w:r w:rsidRPr="00C371B8">
              <w:rPr>
                <w:color w:val="000000"/>
                <w:sz w:val="24"/>
                <w:szCs w:val="24"/>
              </w:rPr>
              <w:t>http://www.samaraenergo.ru/stockholder/facts/</w:t>
            </w:r>
          </w:p>
        </w:tc>
      </w:tr>
    </w:tbl>
    <w:p w:rsidR="00A13C5C" w:rsidRPr="00C371B8" w:rsidRDefault="00A13C5C">
      <w:pPr>
        <w:rPr>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6"/>
      </w:tblGrid>
      <w:tr w:rsidR="00A13C5C" w:rsidRPr="00C371B8" w:rsidTr="00A16EA9">
        <w:trPr>
          <w:trHeight w:val="582"/>
        </w:trPr>
        <w:tc>
          <w:tcPr>
            <w:tcW w:w="10376" w:type="dxa"/>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A93B06">
        <w:tc>
          <w:tcPr>
            <w:tcW w:w="10376" w:type="dxa"/>
          </w:tcPr>
          <w:p w:rsidR="00C371B8" w:rsidRDefault="00C371B8" w:rsidP="00250A82">
            <w:pPr>
              <w:jc w:val="both"/>
              <w:rPr>
                <w:sz w:val="24"/>
                <w:szCs w:val="24"/>
              </w:rPr>
            </w:pPr>
            <w:r w:rsidRPr="00C371B8">
              <w:rPr>
                <w:b/>
                <w:sz w:val="24"/>
                <w:szCs w:val="24"/>
              </w:rPr>
              <w:t>2. Содержание сообщения</w:t>
            </w:r>
            <w:r w:rsidRPr="00C371B8">
              <w:rPr>
                <w:sz w:val="24"/>
                <w:szCs w:val="24"/>
              </w:rPr>
              <w:t xml:space="preserve"> </w:t>
            </w:r>
          </w:p>
          <w:p w:rsidR="00C371B8" w:rsidRPr="00C371B8" w:rsidRDefault="00C371B8" w:rsidP="00C371B8">
            <w:pPr>
              <w:tabs>
                <w:tab w:val="num" w:pos="1080"/>
              </w:tabs>
              <w:jc w:val="both"/>
              <w:rPr>
                <w:b/>
                <w:sz w:val="24"/>
                <w:szCs w:val="24"/>
              </w:rPr>
            </w:pPr>
            <w:r w:rsidRPr="00C371B8">
              <w:rPr>
                <w:b/>
                <w:sz w:val="24"/>
                <w:szCs w:val="24"/>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C371B8">
              <w:rPr>
                <w:sz w:val="24"/>
                <w:szCs w:val="24"/>
              </w:rPr>
              <w:t xml:space="preserve"> </w:t>
            </w:r>
            <w:r w:rsidR="00D93931">
              <w:rPr>
                <w:sz w:val="24"/>
                <w:szCs w:val="24"/>
              </w:rPr>
              <w:t>ТЕЛЕФАНДЗ ИНВЕСТМЕНТС ЛИМИТЕД</w:t>
            </w:r>
            <w:r w:rsidR="009834AF">
              <w:rPr>
                <w:sz w:val="24"/>
                <w:szCs w:val="24"/>
              </w:rPr>
              <w:t>.</w:t>
            </w:r>
            <w:r w:rsidRPr="00C371B8">
              <w:rPr>
                <w:sz w:val="24"/>
                <w:szCs w:val="24"/>
              </w:rPr>
              <w:t xml:space="preserve"> </w:t>
            </w:r>
            <w:r w:rsidR="00C52A1B">
              <w:rPr>
                <w:sz w:val="24"/>
                <w:szCs w:val="24"/>
              </w:rPr>
              <w:t>(</w:t>
            </w:r>
            <w:r w:rsidR="00D93931">
              <w:rPr>
                <w:sz w:val="24"/>
                <w:szCs w:val="24"/>
              </w:rPr>
              <w:t>TELEFUNDS INVESTMENTS LIMITED</w:t>
            </w:r>
            <w:r w:rsidR="00C52A1B">
              <w:rPr>
                <w:sz w:val="24"/>
                <w:szCs w:val="24"/>
              </w:rPr>
              <w:t xml:space="preserve">), </w:t>
            </w:r>
            <w:r w:rsidR="009834AF">
              <w:rPr>
                <w:sz w:val="24"/>
                <w:szCs w:val="24"/>
              </w:rPr>
              <w:t>(</w:t>
            </w:r>
            <w:r w:rsidR="00D93931">
              <w:rPr>
                <w:sz w:val="24"/>
                <w:szCs w:val="24"/>
              </w:rPr>
              <w:t>Иоанни Стилиану, 6, 2 этаж, квартира/офис 202, 2003, Никосия, Кипр</w:t>
            </w:r>
            <w:r w:rsidRPr="00C371B8">
              <w:rPr>
                <w:sz w:val="24"/>
                <w:szCs w:val="24"/>
              </w:rPr>
              <w:t>)</w:t>
            </w:r>
            <w:r w:rsidR="00C52A1B">
              <w:rPr>
                <w:sz w:val="24"/>
                <w:szCs w:val="24"/>
              </w:rPr>
              <w:t>,</w:t>
            </w:r>
            <w:r>
              <w:rPr>
                <w:sz w:val="24"/>
                <w:szCs w:val="24"/>
              </w:rPr>
              <w:t xml:space="preserve"> </w:t>
            </w:r>
            <w:r w:rsidR="00C52A1B">
              <w:rPr>
                <w:sz w:val="24"/>
                <w:szCs w:val="24"/>
              </w:rPr>
              <w:t xml:space="preserve">рег. номер </w:t>
            </w:r>
            <w:r w:rsidR="00D93931">
              <w:rPr>
                <w:sz w:val="24"/>
                <w:szCs w:val="24"/>
              </w:rPr>
              <w:t>НЕ 230438</w:t>
            </w:r>
          </w:p>
          <w:p w:rsidR="009834AF" w:rsidRPr="009834AF" w:rsidRDefault="00C371B8" w:rsidP="009834AF">
            <w:pPr>
              <w:pStyle w:val="ConsPlusNormal"/>
              <w:jc w:val="both"/>
              <w:rPr>
                <w:sz w:val="24"/>
                <w:szCs w:val="24"/>
              </w:rPr>
            </w:pPr>
            <w:r w:rsidRPr="00427BD2">
              <w:rPr>
                <w:sz w:val="24"/>
                <w:szCs w:val="24"/>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427BD2">
              <w:rPr>
                <w:b w:val="0"/>
                <w:sz w:val="24"/>
                <w:szCs w:val="24"/>
              </w:rPr>
              <w:t>прямо</w:t>
            </w:r>
            <w:r w:rsidR="009834AF" w:rsidRPr="00427BD2">
              <w:rPr>
                <w:b w:val="0"/>
                <w:sz w:val="24"/>
                <w:szCs w:val="24"/>
              </w:rPr>
              <w:t>е распоряжение.</w:t>
            </w:r>
            <w:r w:rsidRPr="00427BD2">
              <w:rPr>
                <w:sz w:val="24"/>
                <w:szCs w:val="24"/>
              </w:rP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427BD2">
              <w:rPr>
                <w:b w:val="0"/>
                <w:sz w:val="24"/>
                <w:szCs w:val="24"/>
              </w:rPr>
              <w:t>самостоятельное распоряжение.</w:t>
            </w:r>
            <w:r w:rsidRPr="00427BD2">
              <w:rPr>
                <w:sz w:val="24"/>
                <w:szCs w:val="24"/>
              </w:rPr>
              <w:t xml:space="preserve"> </w:t>
            </w:r>
            <w:r w:rsidRPr="00427BD2">
              <w:rPr>
                <w:sz w:val="24"/>
                <w:szCs w:val="24"/>
              </w:rPr>
              <w:b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00427BD2" w:rsidRPr="00427BD2">
              <w:rPr>
                <w:b w:val="0"/>
                <w:sz w:val="24"/>
                <w:szCs w:val="24"/>
              </w:rPr>
              <w:t>Снижение доли</w:t>
            </w:r>
            <w:r w:rsidR="009834AF" w:rsidRPr="00427BD2">
              <w:rPr>
                <w:b w:val="0"/>
                <w:sz w:val="24"/>
                <w:szCs w:val="24"/>
              </w:rPr>
              <w:t xml:space="preserve"> участия в уставном капитале организации</w:t>
            </w:r>
          </w:p>
          <w:p w:rsidR="006F34DD" w:rsidRDefault="00C371B8" w:rsidP="00D93931">
            <w:pPr>
              <w:jc w:val="both"/>
              <w:rPr>
                <w:b/>
                <w:sz w:val="24"/>
                <w:szCs w:val="24"/>
              </w:rPr>
            </w:pPr>
            <w:r w:rsidRPr="00C371B8">
              <w:rPr>
                <w:b/>
                <w:sz w:val="24"/>
                <w:szCs w:val="24"/>
              </w:rPr>
              <w:t>2.5</w:t>
            </w:r>
            <w:r w:rsidRPr="00C52A1B">
              <w:rPr>
                <w:b/>
                <w:sz w:val="24"/>
                <w:szCs w:val="24"/>
              </w:rPr>
              <w:t>.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C52A1B">
              <w:rPr>
                <w:sz w:val="24"/>
                <w:szCs w:val="24"/>
              </w:rPr>
              <w:t xml:space="preserve">: </w:t>
            </w:r>
            <w:r w:rsidR="00D93931">
              <w:rPr>
                <w:sz w:val="24"/>
                <w:szCs w:val="24"/>
              </w:rPr>
              <w:t>407 356 921 штук обыкновенных акций (11,51</w:t>
            </w:r>
            <w:r w:rsidRPr="00C52A1B">
              <w:rPr>
                <w:sz w:val="24"/>
                <w:szCs w:val="24"/>
              </w:rPr>
              <w:t>%</w:t>
            </w:r>
            <w:r w:rsidR="00D93931">
              <w:rPr>
                <w:sz w:val="24"/>
                <w:szCs w:val="24"/>
              </w:rPr>
              <w:t>)</w:t>
            </w:r>
            <w:r w:rsidRPr="00C52A1B">
              <w:rPr>
                <w:sz w:val="24"/>
                <w:szCs w:val="24"/>
              </w:rPr>
              <w:t>.</w:t>
            </w:r>
            <w:r w:rsidR="00D93931">
              <w:rPr>
                <w:sz w:val="24"/>
                <w:szCs w:val="24"/>
              </w:rPr>
              <w:t>, 11 701 664 штук привилегированных акций (2,2417%).</w:t>
            </w:r>
            <w:r w:rsidRPr="00C371B8">
              <w:rPr>
                <w:sz w:val="24"/>
                <w:szCs w:val="24"/>
              </w:rPr>
              <w:br/>
            </w:r>
            <w:r w:rsidRPr="00C371B8">
              <w:rPr>
                <w:b/>
                <w:sz w:val="24"/>
                <w:szCs w:val="24"/>
              </w:rPr>
              <w:t xml:space="preserve">2.6. Количество и доля голосов в процентах, приходящихся на голосующие акции (доли), составляющие уставный капитал эмитента, </w:t>
            </w:r>
            <w:r w:rsidRPr="00C52A1B">
              <w:rPr>
                <w:b/>
                <w:sz w:val="24"/>
                <w:szCs w:val="24"/>
              </w:rPr>
              <w:t>право распоряжаться которым лицо получило после наступления соответствующего основания:</w:t>
            </w:r>
            <w:r w:rsidRPr="00C52A1B">
              <w:rPr>
                <w:sz w:val="24"/>
                <w:szCs w:val="24"/>
              </w:rPr>
              <w:t xml:space="preserve"> </w:t>
            </w:r>
            <w:r w:rsidR="00D93931">
              <w:rPr>
                <w:sz w:val="24"/>
                <w:szCs w:val="24"/>
              </w:rPr>
              <w:t>138 226 734</w:t>
            </w:r>
            <w:r w:rsidR="00C52A1B" w:rsidRPr="00C52A1B">
              <w:rPr>
                <w:sz w:val="24"/>
                <w:szCs w:val="24"/>
              </w:rPr>
              <w:t xml:space="preserve"> штук обыкновенных</w:t>
            </w:r>
            <w:r w:rsidR="00D93931">
              <w:rPr>
                <w:sz w:val="24"/>
                <w:szCs w:val="24"/>
              </w:rPr>
              <w:t xml:space="preserve"> акций</w:t>
            </w:r>
            <w:r w:rsidRPr="00C52A1B">
              <w:rPr>
                <w:sz w:val="24"/>
                <w:szCs w:val="24"/>
              </w:rPr>
              <w:t xml:space="preserve"> </w:t>
            </w:r>
            <w:r w:rsidR="00D93931">
              <w:rPr>
                <w:sz w:val="24"/>
                <w:szCs w:val="24"/>
              </w:rPr>
              <w:t>(3</w:t>
            </w:r>
            <w:r w:rsidR="009834AF">
              <w:rPr>
                <w:sz w:val="24"/>
                <w:szCs w:val="24"/>
              </w:rPr>
              <w:t>,</w:t>
            </w:r>
            <w:r w:rsidR="00D93931">
              <w:rPr>
                <w:sz w:val="24"/>
                <w:szCs w:val="24"/>
              </w:rPr>
              <w:t>9059</w:t>
            </w:r>
            <w:r w:rsidRPr="00C52A1B">
              <w:rPr>
                <w:sz w:val="24"/>
                <w:szCs w:val="24"/>
              </w:rPr>
              <w:t xml:space="preserve"> %</w:t>
            </w:r>
            <w:r w:rsidR="00D93931">
              <w:rPr>
                <w:sz w:val="24"/>
                <w:szCs w:val="24"/>
              </w:rPr>
              <w:t>)</w:t>
            </w:r>
            <w:r w:rsidRPr="00C52A1B">
              <w:rPr>
                <w:sz w:val="24"/>
                <w:szCs w:val="24"/>
              </w:rPr>
              <w:t>.</w:t>
            </w:r>
            <w:r w:rsidR="009834AF">
              <w:rPr>
                <w:sz w:val="24"/>
                <w:szCs w:val="24"/>
              </w:rPr>
              <w:t>,</w:t>
            </w:r>
            <w:r w:rsidR="00D93931">
              <w:rPr>
                <w:sz w:val="24"/>
                <w:szCs w:val="24"/>
              </w:rPr>
              <w:t xml:space="preserve"> 10 402 779 привилегированных акций</w:t>
            </w:r>
            <w:r w:rsidR="009834AF">
              <w:rPr>
                <w:sz w:val="24"/>
                <w:szCs w:val="24"/>
              </w:rPr>
              <w:t xml:space="preserve"> </w:t>
            </w:r>
            <w:r w:rsidR="00D93931">
              <w:rPr>
                <w:sz w:val="24"/>
                <w:szCs w:val="24"/>
              </w:rPr>
              <w:t>(1,9928</w:t>
            </w:r>
            <w:r w:rsidR="009834AF">
              <w:rPr>
                <w:sz w:val="24"/>
                <w:szCs w:val="24"/>
              </w:rPr>
              <w:t>%</w:t>
            </w:r>
            <w:r w:rsidR="00D93931">
              <w:rPr>
                <w:sz w:val="24"/>
                <w:szCs w:val="24"/>
              </w:rPr>
              <w:t>)</w:t>
            </w:r>
            <w:r w:rsidR="009834AF">
              <w:rPr>
                <w:sz w:val="24"/>
                <w:szCs w:val="24"/>
              </w:rPr>
              <w:t>.</w:t>
            </w:r>
            <w:r w:rsidRPr="00C371B8">
              <w:rPr>
                <w:sz w:val="24"/>
                <w:szCs w:val="24"/>
              </w:rPr>
              <w:t xml:space="preserve"> </w:t>
            </w:r>
            <w:r w:rsidRPr="00C371B8">
              <w:rPr>
                <w:sz w:val="24"/>
                <w:szCs w:val="24"/>
              </w:rPr>
              <w:br/>
            </w:r>
          </w:p>
          <w:p w:rsidR="006F34DD" w:rsidRDefault="006F34DD" w:rsidP="00D93931">
            <w:pPr>
              <w:jc w:val="both"/>
              <w:rPr>
                <w:b/>
                <w:sz w:val="24"/>
                <w:szCs w:val="24"/>
              </w:rPr>
            </w:pPr>
          </w:p>
          <w:p w:rsidR="006F34DD" w:rsidRDefault="006F34DD" w:rsidP="00D93931">
            <w:pPr>
              <w:jc w:val="both"/>
              <w:rPr>
                <w:b/>
                <w:sz w:val="24"/>
                <w:szCs w:val="24"/>
              </w:rPr>
            </w:pPr>
          </w:p>
          <w:p w:rsidR="00A13C5C" w:rsidRPr="00C371B8" w:rsidRDefault="00C371B8" w:rsidP="00D93931">
            <w:pPr>
              <w:jc w:val="both"/>
              <w:rPr>
                <w:b/>
                <w:color w:val="000000"/>
                <w:sz w:val="24"/>
                <w:szCs w:val="24"/>
              </w:rPr>
            </w:pPr>
            <w:r w:rsidRPr="00C371B8">
              <w:rPr>
                <w:b/>
                <w:sz w:val="24"/>
                <w:szCs w:val="24"/>
              </w:rPr>
              <w:lastRenderedPageBreak/>
              <w:t xml:space="preserve">2.7. Дата наступления основания, в силу </w:t>
            </w:r>
            <w:r w:rsidRPr="00C52A1B">
              <w:rPr>
                <w:b/>
                <w:sz w:val="24"/>
                <w:szCs w:val="24"/>
              </w:rPr>
              <w:t xml:space="preserve">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C52A1B">
              <w:rPr>
                <w:sz w:val="24"/>
                <w:szCs w:val="24"/>
              </w:rPr>
              <w:t>2</w:t>
            </w:r>
            <w:r w:rsidR="00C52A1B" w:rsidRPr="00C52A1B">
              <w:rPr>
                <w:sz w:val="24"/>
                <w:szCs w:val="24"/>
              </w:rPr>
              <w:t>9</w:t>
            </w:r>
            <w:r w:rsidRPr="00C52A1B">
              <w:rPr>
                <w:sz w:val="24"/>
                <w:szCs w:val="24"/>
              </w:rPr>
              <w:t xml:space="preserve"> </w:t>
            </w:r>
            <w:r w:rsidR="00C52A1B" w:rsidRPr="00C52A1B">
              <w:rPr>
                <w:sz w:val="24"/>
                <w:szCs w:val="24"/>
              </w:rPr>
              <w:t>ию</w:t>
            </w:r>
            <w:r w:rsidR="009834AF">
              <w:rPr>
                <w:sz w:val="24"/>
                <w:szCs w:val="24"/>
              </w:rPr>
              <w:t>н</w:t>
            </w:r>
            <w:r w:rsidRPr="00C52A1B">
              <w:rPr>
                <w:sz w:val="24"/>
                <w:szCs w:val="24"/>
              </w:rPr>
              <w:t>я 201</w:t>
            </w:r>
            <w:r w:rsidR="00C52A1B" w:rsidRPr="00C52A1B">
              <w:rPr>
                <w:sz w:val="24"/>
                <w:szCs w:val="24"/>
              </w:rPr>
              <w:t>6</w:t>
            </w:r>
            <w:r w:rsidRPr="00C52A1B">
              <w:rPr>
                <w:sz w:val="24"/>
                <w:szCs w:val="24"/>
              </w:rPr>
              <w:t xml:space="preserve"> года.</w:t>
            </w:r>
          </w:p>
        </w:tc>
      </w:tr>
    </w:tbl>
    <w:p w:rsidR="00A13C5C" w:rsidRPr="005050C9" w:rsidRDefault="00A13C5C">
      <w:pPr>
        <w:rPr>
          <w:sz w:val="28"/>
          <w:szCs w:val="2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644"/>
        <w:gridCol w:w="1843"/>
        <w:gridCol w:w="3657"/>
      </w:tblGrid>
      <w:tr w:rsidR="00622BB8" w:rsidRPr="005050C9" w:rsidTr="00F76464">
        <w:tc>
          <w:tcPr>
            <w:tcW w:w="10348" w:type="dxa"/>
            <w:gridSpan w:val="8"/>
          </w:tcPr>
          <w:p w:rsidR="00622BB8" w:rsidRPr="006F34DD" w:rsidRDefault="00622BB8" w:rsidP="00FD09FF">
            <w:pPr>
              <w:jc w:val="center"/>
              <w:rPr>
                <w:sz w:val="24"/>
                <w:szCs w:val="28"/>
              </w:rPr>
            </w:pPr>
            <w:r w:rsidRPr="006F34DD">
              <w:rPr>
                <w:sz w:val="24"/>
                <w:szCs w:val="28"/>
              </w:rPr>
              <w:t>3. Подписи</w:t>
            </w:r>
          </w:p>
        </w:tc>
      </w:tr>
      <w:tr w:rsidR="00597284" w:rsidRPr="005050C9" w:rsidTr="00F76464">
        <w:trPr>
          <w:cantSplit/>
          <w:trHeight w:val="278"/>
        </w:trPr>
        <w:tc>
          <w:tcPr>
            <w:tcW w:w="4848" w:type="dxa"/>
            <w:gridSpan w:val="6"/>
          </w:tcPr>
          <w:p w:rsidR="00FD724E" w:rsidRPr="006F34DD" w:rsidRDefault="000E0D43" w:rsidP="00455B99">
            <w:pPr>
              <w:spacing w:before="20"/>
              <w:rPr>
                <w:sz w:val="24"/>
                <w:szCs w:val="28"/>
              </w:rPr>
            </w:pPr>
            <w:r w:rsidRPr="006F34DD">
              <w:rPr>
                <w:sz w:val="24"/>
                <w:szCs w:val="28"/>
              </w:rPr>
              <w:t>3.1. Г</w:t>
            </w:r>
            <w:r w:rsidR="00455B99" w:rsidRPr="006F34DD">
              <w:rPr>
                <w:sz w:val="24"/>
                <w:szCs w:val="28"/>
              </w:rPr>
              <w:t>енеральн</w:t>
            </w:r>
            <w:r w:rsidRPr="006F34DD">
              <w:rPr>
                <w:sz w:val="24"/>
                <w:szCs w:val="28"/>
              </w:rPr>
              <w:t>ый</w:t>
            </w:r>
            <w:r w:rsidR="00455B99" w:rsidRPr="006F34DD">
              <w:rPr>
                <w:sz w:val="24"/>
                <w:szCs w:val="28"/>
              </w:rPr>
              <w:t xml:space="preserve"> директор</w:t>
            </w:r>
          </w:p>
          <w:p w:rsidR="00597284" w:rsidRPr="006F34DD" w:rsidRDefault="00831E34" w:rsidP="00FD724E">
            <w:pPr>
              <w:spacing w:before="20"/>
              <w:rPr>
                <w:sz w:val="24"/>
                <w:szCs w:val="28"/>
              </w:rPr>
            </w:pPr>
            <w:r w:rsidRPr="006F34DD">
              <w:rPr>
                <w:sz w:val="24"/>
                <w:szCs w:val="28"/>
              </w:rPr>
              <w:t xml:space="preserve"> </w:t>
            </w:r>
            <w:r w:rsidR="00FD724E" w:rsidRPr="006F34DD">
              <w:rPr>
                <w:sz w:val="24"/>
                <w:szCs w:val="28"/>
              </w:rPr>
              <w:t>П</w:t>
            </w:r>
            <w:r w:rsidRPr="006F34DD">
              <w:rPr>
                <w:sz w:val="24"/>
                <w:szCs w:val="28"/>
              </w:rPr>
              <w:t>АО «Самараэнерго»</w:t>
            </w:r>
          </w:p>
        </w:tc>
        <w:tc>
          <w:tcPr>
            <w:tcW w:w="1843" w:type="dxa"/>
          </w:tcPr>
          <w:p w:rsidR="00597284" w:rsidRPr="006F34DD" w:rsidRDefault="00597284" w:rsidP="00FD09FF">
            <w:pPr>
              <w:spacing w:before="20"/>
              <w:rPr>
                <w:sz w:val="24"/>
                <w:szCs w:val="28"/>
              </w:rPr>
            </w:pPr>
          </w:p>
          <w:p w:rsidR="003C48AC" w:rsidRPr="006F34DD" w:rsidRDefault="003C48AC" w:rsidP="00FD09FF">
            <w:pPr>
              <w:spacing w:before="20"/>
              <w:rPr>
                <w:sz w:val="24"/>
                <w:szCs w:val="28"/>
              </w:rPr>
            </w:pPr>
          </w:p>
        </w:tc>
        <w:tc>
          <w:tcPr>
            <w:tcW w:w="3657" w:type="dxa"/>
          </w:tcPr>
          <w:p w:rsidR="00597284" w:rsidRPr="006F34DD" w:rsidRDefault="000E0D43" w:rsidP="00455B99">
            <w:pPr>
              <w:spacing w:before="20"/>
              <w:rPr>
                <w:sz w:val="24"/>
                <w:szCs w:val="28"/>
              </w:rPr>
            </w:pPr>
            <w:r w:rsidRPr="006F34DD">
              <w:rPr>
                <w:sz w:val="24"/>
                <w:szCs w:val="28"/>
              </w:rPr>
              <w:t>О.А. Дербенев</w:t>
            </w:r>
          </w:p>
        </w:tc>
      </w:tr>
      <w:tr w:rsidR="00597284" w:rsidRPr="005050C9" w:rsidTr="005050C9">
        <w:trPr>
          <w:cantSplit/>
          <w:trHeight w:val="410"/>
        </w:trPr>
        <w:tc>
          <w:tcPr>
            <w:tcW w:w="1418" w:type="dxa"/>
            <w:vAlign w:val="bottom"/>
          </w:tcPr>
          <w:p w:rsidR="00597284" w:rsidRPr="006F34DD" w:rsidRDefault="00455B99" w:rsidP="00F76464">
            <w:pPr>
              <w:ind w:left="57" w:hanging="57"/>
              <w:rPr>
                <w:sz w:val="24"/>
                <w:szCs w:val="28"/>
              </w:rPr>
            </w:pPr>
            <w:r w:rsidRPr="006F34DD">
              <w:rPr>
                <w:sz w:val="24"/>
                <w:szCs w:val="28"/>
              </w:rPr>
              <w:t>3.2. Дата "</w:t>
            </w:r>
          </w:p>
        </w:tc>
        <w:tc>
          <w:tcPr>
            <w:tcW w:w="425" w:type="dxa"/>
            <w:vAlign w:val="bottom"/>
          </w:tcPr>
          <w:p w:rsidR="00597284" w:rsidRPr="006F34DD" w:rsidRDefault="00464D0F" w:rsidP="006F34DD">
            <w:pPr>
              <w:jc w:val="center"/>
              <w:rPr>
                <w:sz w:val="24"/>
                <w:szCs w:val="28"/>
              </w:rPr>
            </w:pPr>
            <w:r w:rsidRPr="006F34DD">
              <w:rPr>
                <w:sz w:val="24"/>
                <w:szCs w:val="28"/>
              </w:rPr>
              <w:t>1</w:t>
            </w:r>
            <w:r w:rsidR="006F34DD">
              <w:rPr>
                <w:sz w:val="24"/>
                <w:szCs w:val="28"/>
              </w:rPr>
              <w:t>1</w:t>
            </w:r>
            <w:bookmarkStart w:id="0" w:name="_GoBack"/>
            <w:bookmarkEnd w:id="0"/>
          </w:p>
        </w:tc>
        <w:tc>
          <w:tcPr>
            <w:tcW w:w="284" w:type="dxa"/>
            <w:vAlign w:val="bottom"/>
          </w:tcPr>
          <w:p w:rsidR="00597284" w:rsidRPr="006F34DD" w:rsidRDefault="00455B99" w:rsidP="00FD09FF">
            <w:pPr>
              <w:rPr>
                <w:sz w:val="24"/>
                <w:szCs w:val="28"/>
              </w:rPr>
            </w:pPr>
            <w:r w:rsidRPr="006F34DD">
              <w:rPr>
                <w:sz w:val="24"/>
                <w:szCs w:val="28"/>
              </w:rPr>
              <w:t>"</w:t>
            </w:r>
          </w:p>
        </w:tc>
        <w:tc>
          <w:tcPr>
            <w:tcW w:w="1340" w:type="dxa"/>
            <w:vAlign w:val="bottom"/>
          </w:tcPr>
          <w:p w:rsidR="00597284" w:rsidRPr="006F34DD" w:rsidRDefault="00A1647C" w:rsidP="00486A6E">
            <w:pPr>
              <w:jc w:val="center"/>
              <w:rPr>
                <w:sz w:val="24"/>
                <w:szCs w:val="28"/>
              </w:rPr>
            </w:pPr>
            <w:r w:rsidRPr="006F34DD">
              <w:rPr>
                <w:sz w:val="24"/>
                <w:szCs w:val="28"/>
              </w:rPr>
              <w:t>а</w:t>
            </w:r>
            <w:r w:rsidR="00486A6E" w:rsidRPr="006F34DD">
              <w:rPr>
                <w:sz w:val="24"/>
                <w:szCs w:val="28"/>
              </w:rPr>
              <w:t>вгуста</w:t>
            </w:r>
          </w:p>
        </w:tc>
        <w:tc>
          <w:tcPr>
            <w:tcW w:w="737" w:type="dxa"/>
            <w:vAlign w:val="bottom"/>
          </w:tcPr>
          <w:p w:rsidR="00597284" w:rsidRPr="006F34DD" w:rsidRDefault="00597284" w:rsidP="000E0D43">
            <w:pPr>
              <w:rPr>
                <w:sz w:val="24"/>
                <w:szCs w:val="28"/>
              </w:rPr>
            </w:pPr>
            <w:r w:rsidRPr="006F34DD">
              <w:rPr>
                <w:sz w:val="24"/>
                <w:szCs w:val="28"/>
              </w:rPr>
              <w:t>20</w:t>
            </w:r>
            <w:r w:rsidR="00282AC5" w:rsidRPr="006F34DD">
              <w:rPr>
                <w:sz w:val="24"/>
                <w:szCs w:val="28"/>
              </w:rPr>
              <w:t>1</w:t>
            </w:r>
            <w:r w:rsidR="000E0D43" w:rsidRPr="006F34DD">
              <w:rPr>
                <w:sz w:val="24"/>
                <w:szCs w:val="28"/>
              </w:rPr>
              <w:t>6</w:t>
            </w:r>
          </w:p>
        </w:tc>
        <w:tc>
          <w:tcPr>
            <w:tcW w:w="6144" w:type="dxa"/>
            <w:gridSpan w:val="3"/>
            <w:vAlign w:val="bottom"/>
          </w:tcPr>
          <w:p w:rsidR="00597284" w:rsidRPr="006F34DD" w:rsidRDefault="00597284" w:rsidP="00FD09FF">
            <w:pPr>
              <w:tabs>
                <w:tab w:val="left" w:pos="1219"/>
              </w:tabs>
              <w:rPr>
                <w:sz w:val="24"/>
                <w:szCs w:val="28"/>
              </w:rPr>
            </w:pPr>
            <w:r w:rsidRPr="006F34DD">
              <w:rPr>
                <w:sz w:val="24"/>
                <w:szCs w:val="28"/>
              </w:rPr>
              <w:t xml:space="preserve"> г.</w:t>
            </w:r>
            <w:r w:rsidRPr="006F34DD">
              <w:rPr>
                <w:sz w:val="24"/>
                <w:szCs w:val="28"/>
              </w:rPr>
              <w:tab/>
            </w:r>
          </w:p>
        </w:tc>
      </w:tr>
      <w:tr w:rsidR="003C48AC" w:rsidRPr="005050C9" w:rsidTr="0063740E">
        <w:trPr>
          <w:cantSplit/>
          <w:trHeight w:val="412"/>
        </w:trPr>
        <w:tc>
          <w:tcPr>
            <w:tcW w:w="10348" w:type="dxa"/>
            <w:gridSpan w:val="8"/>
            <w:vAlign w:val="bottom"/>
          </w:tcPr>
          <w:p w:rsidR="003C48AC" w:rsidRPr="006F34DD" w:rsidRDefault="003C48AC" w:rsidP="00FD09FF">
            <w:pPr>
              <w:jc w:val="center"/>
              <w:rPr>
                <w:sz w:val="24"/>
                <w:szCs w:val="28"/>
              </w:rPr>
            </w:pPr>
            <w:r w:rsidRPr="006F34DD">
              <w:rPr>
                <w:sz w:val="24"/>
                <w:szCs w:val="28"/>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11" w:rsidRDefault="00C32111">
      <w:r>
        <w:separator/>
      </w:r>
    </w:p>
  </w:endnote>
  <w:endnote w:type="continuationSeparator" w:id="0">
    <w:p w:rsidR="00C32111" w:rsidRDefault="00C3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11" w:rsidRDefault="00C32111">
      <w:r>
        <w:separator/>
      </w:r>
    </w:p>
  </w:footnote>
  <w:footnote w:type="continuationSeparator" w:id="0">
    <w:p w:rsidR="00C32111" w:rsidRDefault="00C32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C07BE"/>
    <w:rsid w:val="000E0D43"/>
    <w:rsid w:val="000E371A"/>
    <w:rsid w:val="000E6143"/>
    <w:rsid w:val="001140B7"/>
    <w:rsid w:val="001662F1"/>
    <w:rsid w:val="002058F3"/>
    <w:rsid w:val="00212E5F"/>
    <w:rsid w:val="00250A82"/>
    <w:rsid w:val="00282AC5"/>
    <w:rsid w:val="00292938"/>
    <w:rsid w:val="002C361D"/>
    <w:rsid w:val="002D1FCC"/>
    <w:rsid w:val="002F5740"/>
    <w:rsid w:val="00361CD5"/>
    <w:rsid w:val="003B77A9"/>
    <w:rsid w:val="003C36ED"/>
    <w:rsid w:val="003C48AC"/>
    <w:rsid w:val="003D0766"/>
    <w:rsid w:val="004159A8"/>
    <w:rsid w:val="00427BD2"/>
    <w:rsid w:val="004507FF"/>
    <w:rsid w:val="00455B99"/>
    <w:rsid w:val="00464D0F"/>
    <w:rsid w:val="00485318"/>
    <w:rsid w:val="00486A6E"/>
    <w:rsid w:val="00494D34"/>
    <w:rsid w:val="004C49C4"/>
    <w:rsid w:val="004D2CB3"/>
    <w:rsid w:val="004D6C75"/>
    <w:rsid w:val="005050C9"/>
    <w:rsid w:val="00514EA3"/>
    <w:rsid w:val="00515FEB"/>
    <w:rsid w:val="00564B08"/>
    <w:rsid w:val="0056543B"/>
    <w:rsid w:val="00586C36"/>
    <w:rsid w:val="005906FD"/>
    <w:rsid w:val="00597284"/>
    <w:rsid w:val="005D30C5"/>
    <w:rsid w:val="005E11C4"/>
    <w:rsid w:val="005E21F4"/>
    <w:rsid w:val="00622BB8"/>
    <w:rsid w:val="0063740E"/>
    <w:rsid w:val="0065534E"/>
    <w:rsid w:val="006B2045"/>
    <w:rsid w:val="006C0BDA"/>
    <w:rsid w:val="006D63A5"/>
    <w:rsid w:val="006F34DD"/>
    <w:rsid w:val="00706A4D"/>
    <w:rsid w:val="00711A7A"/>
    <w:rsid w:val="00741A1D"/>
    <w:rsid w:val="00794508"/>
    <w:rsid w:val="007D5743"/>
    <w:rsid w:val="007F7996"/>
    <w:rsid w:val="008132A3"/>
    <w:rsid w:val="00826F67"/>
    <w:rsid w:val="00831E34"/>
    <w:rsid w:val="0088126B"/>
    <w:rsid w:val="008E0378"/>
    <w:rsid w:val="008F1EA0"/>
    <w:rsid w:val="00917A69"/>
    <w:rsid w:val="00953CE6"/>
    <w:rsid w:val="00953DC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65D"/>
    <w:rsid w:val="00B42CE2"/>
    <w:rsid w:val="00B82ABC"/>
    <w:rsid w:val="00BC4175"/>
    <w:rsid w:val="00BE3D8E"/>
    <w:rsid w:val="00BF0223"/>
    <w:rsid w:val="00C32111"/>
    <w:rsid w:val="00C33EFC"/>
    <w:rsid w:val="00C371B8"/>
    <w:rsid w:val="00C51E97"/>
    <w:rsid w:val="00C52A1B"/>
    <w:rsid w:val="00CB38A5"/>
    <w:rsid w:val="00D132C2"/>
    <w:rsid w:val="00D37414"/>
    <w:rsid w:val="00D93931"/>
    <w:rsid w:val="00E131A9"/>
    <w:rsid w:val="00E25566"/>
    <w:rsid w:val="00EB1E3B"/>
    <w:rsid w:val="00EC7B9F"/>
    <w:rsid w:val="00EF0466"/>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3</cp:revision>
  <cp:lastPrinted>2016-08-11T10:13:00Z</cp:lastPrinted>
  <dcterms:created xsi:type="dcterms:W3CDTF">2016-08-09T07:12:00Z</dcterms:created>
  <dcterms:modified xsi:type="dcterms:W3CDTF">2016-08-11T10:13:00Z</dcterms:modified>
</cp:coreProperties>
</file>